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color w:val="000000"/>
          <w:sz w:val="48"/>
          <w:szCs w:val="48"/>
          <w:lang w:val="en-US" w:eastAsia="zh-CN"/>
        </w:rPr>
      </w:pPr>
    </w:p>
    <w:p>
      <w:pPr>
        <w:pStyle w:val="9"/>
        <w:jc w:val="center"/>
        <w:rPr>
          <w:rFonts w:hint="default"/>
          <w:lang w:val="en-US"/>
        </w:rPr>
      </w:pPr>
      <w:r>
        <w:rPr>
          <w:rFonts w:hint="eastAsia" w:cs="宋体"/>
          <w:b/>
          <w:color w:val="000000"/>
          <w:sz w:val="48"/>
          <w:szCs w:val="48"/>
          <w:lang w:val="en-US" w:eastAsia="zh-CN"/>
        </w:rPr>
        <w:t>安庆市新闻传媒中心网络安全等级保护测评服务项目（三次）</w:t>
      </w:r>
    </w:p>
    <w:p>
      <w:pPr>
        <w:spacing w:line="360" w:lineRule="auto"/>
        <w:jc w:val="center"/>
        <w:rPr>
          <w:rFonts w:ascii="宋体" w:hAnsi="宋体" w:cs="宋体"/>
          <w:b/>
          <w:color w:val="000000"/>
          <w:sz w:val="110"/>
          <w:szCs w:val="110"/>
        </w:rPr>
      </w:pPr>
      <w:r>
        <w:rPr>
          <w:rFonts w:hint="eastAsia" w:ascii="宋体" w:hAnsi="宋体" w:cs="宋体"/>
          <w:b/>
          <w:color w:val="000000"/>
          <w:sz w:val="110"/>
          <w:szCs w:val="110"/>
        </w:rPr>
        <w:t xml:space="preserve"> 竞争性谈判文件</w:t>
      </w:r>
    </w:p>
    <w:p>
      <w:pPr>
        <w:spacing w:line="360" w:lineRule="auto"/>
        <w:ind w:firstLine="3373" w:firstLineChars="1400"/>
        <w:rPr>
          <w:rFonts w:hint="default" w:ascii="宋体" w:hAnsi="宋体" w:eastAsia="宋体" w:cs="宋体"/>
          <w:b/>
          <w:color w:val="000000"/>
          <w:sz w:val="24"/>
          <w:szCs w:val="32"/>
          <w:lang w:val="en-US" w:eastAsia="zh-CN"/>
        </w:rPr>
      </w:pPr>
      <w:r>
        <w:rPr>
          <w:rFonts w:hint="eastAsia" w:ascii="宋体" w:hAnsi="宋体" w:cs="宋体"/>
          <w:b/>
          <w:color w:val="000000"/>
          <w:sz w:val="24"/>
        </w:rPr>
        <w:t>项目编号：</w:t>
      </w:r>
      <w:r>
        <w:rPr>
          <w:rFonts w:hint="eastAsia" w:ascii="宋体" w:hAnsi="宋体" w:cs="宋体"/>
          <w:b/>
          <w:color w:val="000000"/>
          <w:sz w:val="24"/>
          <w:lang w:eastAsia="zh-CN"/>
        </w:rPr>
        <w:t>CG-AQ-W2022-183</w:t>
      </w: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hint="eastAsia" w:ascii="宋体" w:hAnsi="宋体" w:eastAsia="宋体" w:cs="宋体"/>
          <w:b/>
          <w:color w:val="000000"/>
          <w:sz w:val="24"/>
          <w:lang w:val="en-US" w:eastAsia="zh-CN"/>
        </w:rPr>
      </w:pPr>
      <w:r>
        <w:rPr>
          <w:rFonts w:hint="eastAsia" w:ascii="宋体" w:hAnsi="宋体" w:cs="宋体"/>
          <w:b/>
          <w:color w:val="000000"/>
          <w:sz w:val="24"/>
          <w:lang w:val="en-US" w:eastAsia="zh-CN"/>
        </w:rPr>
        <w:t xml:space="preserve"> </w:t>
      </w:r>
    </w:p>
    <w:p>
      <w:pPr>
        <w:spacing w:line="360" w:lineRule="auto"/>
        <w:ind w:firstLine="596" w:firstLineChars="198"/>
        <w:rPr>
          <w:rFonts w:ascii="宋体" w:hAnsi="宋体" w:cs="宋体"/>
          <w:b/>
          <w:color w:val="000000"/>
          <w:szCs w:val="21"/>
        </w:rPr>
      </w:pPr>
      <w:r>
        <w:rPr>
          <w:rFonts w:hint="eastAsia" w:ascii="宋体" w:hAnsi="宋体" w:cs="宋体"/>
          <w:b/>
          <w:color w:val="000000"/>
          <w:sz w:val="30"/>
          <w:szCs w:val="30"/>
        </w:rPr>
        <w:t>采   购   人：</w:t>
      </w:r>
      <w:r>
        <w:rPr>
          <w:rFonts w:hint="eastAsia" w:ascii="宋体" w:hAnsi="宋体" w:cs="宋体"/>
          <w:b/>
          <w:color w:val="000000"/>
          <w:sz w:val="30"/>
          <w:szCs w:val="30"/>
          <w:u w:val="single"/>
        </w:rPr>
        <w:t xml:space="preserve">    </w:t>
      </w:r>
      <w:r>
        <w:rPr>
          <w:rFonts w:hint="eastAsia" w:ascii="宋体" w:hAnsi="宋体" w:cs="宋体"/>
          <w:b/>
          <w:color w:val="000000"/>
          <w:sz w:val="30"/>
          <w:szCs w:val="30"/>
          <w:u w:val="single"/>
          <w:lang w:val="en-US" w:eastAsia="zh-CN"/>
        </w:rPr>
        <w:t xml:space="preserve">         </w:t>
      </w:r>
      <w:r>
        <w:rPr>
          <w:rFonts w:hint="eastAsia" w:ascii="宋体" w:hAnsi="宋体" w:cs="宋体"/>
          <w:b/>
          <w:color w:val="000000"/>
          <w:sz w:val="30"/>
          <w:szCs w:val="30"/>
          <w:u w:val="single"/>
        </w:rPr>
        <w:t xml:space="preserve"> </w:t>
      </w:r>
      <w:r>
        <w:rPr>
          <w:rFonts w:hint="eastAsia" w:ascii="宋体" w:hAnsi="宋体" w:cs="宋体"/>
          <w:b/>
          <w:color w:val="000000"/>
          <w:sz w:val="30"/>
          <w:szCs w:val="30"/>
          <w:u w:val="single"/>
          <w:lang w:eastAsia="zh-CN"/>
        </w:rPr>
        <w:t>安庆日报社</w:t>
      </w:r>
      <w:r>
        <w:rPr>
          <w:rFonts w:hint="eastAsia" w:ascii="宋体" w:hAnsi="宋体" w:cs="宋体"/>
          <w:b/>
          <w:color w:val="000000"/>
          <w:spacing w:val="20"/>
          <w:sz w:val="30"/>
          <w:szCs w:val="30"/>
          <w:u w:val="single"/>
        </w:rPr>
        <w:t xml:space="preserve"> </w:t>
      </w:r>
      <w:r>
        <w:rPr>
          <w:rFonts w:hint="eastAsia" w:ascii="宋体" w:hAnsi="宋体" w:cs="宋体"/>
          <w:b/>
          <w:color w:val="000000"/>
          <w:spacing w:val="20"/>
          <w:sz w:val="30"/>
          <w:szCs w:val="30"/>
          <w:u w:val="single"/>
          <w:lang w:val="en-US" w:eastAsia="zh-CN"/>
        </w:rPr>
        <w:t xml:space="preserve">        </w:t>
      </w:r>
      <w:r>
        <w:rPr>
          <w:rFonts w:hint="eastAsia" w:ascii="宋体" w:hAnsi="宋体" w:cs="宋体"/>
          <w:b/>
          <w:color w:val="000000"/>
          <w:spacing w:val="20"/>
          <w:sz w:val="30"/>
          <w:szCs w:val="30"/>
          <w:u w:val="single"/>
        </w:rPr>
        <w:t xml:space="preserve">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pStyle w:val="16"/>
        <w:rPr>
          <w:rFonts w:ascii="宋体" w:hAnsi="宋体" w:cs="宋体"/>
          <w:b/>
          <w:color w:val="000000"/>
          <w:sz w:val="24"/>
        </w:rPr>
      </w:pPr>
    </w:p>
    <w:p>
      <w:pPr>
        <w:pStyle w:val="16"/>
        <w:rPr>
          <w:rFonts w:ascii="宋体" w:hAnsi="宋体" w:cs="宋体"/>
          <w:b/>
          <w:color w:val="000000"/>
          <w:sz w:val="24"/>
        </w:rPr>
      </w:pPr>
    </w:p>
    <w:p>
      <w:pPr>
        <w:spacing w:line="360" w:lineRule="auto"/>
        <w:rPr>
          <w:rFonts w:ascii="宋体" w:hAnsi="宋体" w:cs="宋体"/>
          <w:b/>
          <w:color w:val="000000"/>
          <w:sz w:val="24"/>
        </w:rPr>
      </w:pPr>
    </w:p>
    <w:p>
      <w:pPr>
        <w:spacing w:line="360" w:lineRule="auto"/>
        <w:ind w:firstLine="596" w:firstLineChars="198"/>
        <w:rPr>
          <w:rFonts w:ascii="宋体" w:hAnsi="宋体" w:cs="宋体"/>
          <w:b/>
          <w:color w:val="000000"/>
          <w:sz w:val="18"/>
          <w:szCs w:val="18"/>
        </w:rPr>
      </w:pPr>
      <w:r>
        <w:rPr>
          <w:rFonts w:hint="eastAsia" w:ascii="宋体" w:hAnsi="宋体" w:cs="宋体"/>
          <w:b/>
          <w:color w:val="000000"/>
          <w:sz w:val="30"/>
          <w:szCs w:val="30"/>
        </w:rPr>
        <w:t>采购代理机构：</w:t>
      </w:r>
      <w:r>
        <w:rPr>
          <w:rFonts w:hint="eastAsia" w:ascii="宋体" w:hAnsi="宋体" w:cs="宋体"/>
          <w:b/>
          <w:color w:val="000000"/>
          <w:sz w:val="30"/>
          <w:szCs w:val="30"/>
          <w:u w:val="single"/>
        </w:rPr>
        <w:t xml:space="preserve">   </w:t>
      </w:r>
      <w:r>
        <w:rPr>
          <w:rFonts w:hint="eastAsia" w:ascii="宋体" w:hAnsi="宋体" w:cs="宋体"/>
          <w:b/>
          <w:color w:val="000000"/>
          <w:sz w:val="30"/>
          <w:szCs w:val="30"/>
          <w:u w:val="single"/>
          <w:lang w:val="en-US" w:eastAsia="zh-CN"/>
        </w:rPr>
        <w:t xml:space="preserve">  </w:t>
      </w:r>
      <w:r>
        <w:rPr>
          <w:rFonts w:hint="eastAsia" w:ascii="宋体" w:hAnsi="宋体" w:cs="宋体"/>
          <w:b/>
          <w:color w:val="000000"/>
          <w:sz w:val="30"/>
          <w:szCs w:val="30"/>
          <w:u w:val="single"/>
        </w:rPr>
        <w:t xml:space="preserve"> 安庆市皖宜项目咨询管理有限公司  </w:t>
      </w:r>
      <w:r>
        <w:rPr>
          <w:rFonts w:hint="eastAsia" w:ascii="宋体" w:hAnsi="宋体" w:cs="宋体"/>
          <w:b/>
          <w:color w:val="000000"/>
          <w:spacing w:val="20"/>
          <w:sz w:val="30"/>
          <w:szCs w:val="30"/>
          <w:u w:val="single"/>
        </w:rPr>
        <w:t xml:space="preserve">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24"/>
          <w:u w:val="single"/>
        </w:rPr>
      </w:pPr>
    </w:p>
    <w:p>
      <w:pPr>
        <w:spacing w:line="360" w:lineRule="auto"/>
        <w:rPr>
          <w:rFonts w:ascii="宋体" w:hAnsi="宋体" w:cs="宋体"/>
          <w:color w:val="000000"/>
          <w:sz w:val="24"/>
        </w:rPr>
      </w:pPr>
    </w:p>
    <w:p>
      <w:pPr>
        <w:spacing w:line="360" w:lineRule="auto"/>
        <w:rPr>
          <w:rFonts w:ascii="宋体" w:hAnsi="宋体" w:cs="宋体"/>
          <w:b/>
          <w:color w:val="000000"/>
          <w:sz w:val="24"/>
          <w:u w:val="single"/>
        </w:rPr>
      </w:pPr>
    </w:p>
    <w:p>
      <w:pPr>
        <w:spacing w:line="360" w:lineRule="auto"/>
        <w:rPr>
          <w:rFonts w:ascii="宋体" w:hAnsi="宋体" w:cs="宋体"/>
          <w:b/>
          <w:color w:val="000000"/>
          <w:sz w:val="24"/>
          <w:u w:val="single"/>
        </w:rPr>
      </w:pPr>
    </w:p>
    <w:p>
      <w:pPr>
        <w:spacing w:line="360" w:lineRule="auto"/>
        <w:jc w:val="center"/>
        <w:rPr>
          <w:rFonts w:ascii="宋体" w:hAnsi="宋体" w:cs="宋体"/>
          <w:b/>
          <w:color w:val="000000"/>
          <w:sz w:val="30"/>
          <w:szCs w:val="30"/>
        </w:rPr>
      </w:pPr>
      <w:r>
        <w:rPr>
          <w:rFonts w:hint="eastAsia" w:ascii="宋体" w:hAnsi="宋体" w:cs="宋体"/>
          <w:b/>
          <w:color w:val="000000"/>
          <w:sz w:val="30"/>
          <w:szCs w:val="30"/>
        </w:rPr>
        <w:t>日  期：二〇二</w:t>
      </w:r>
      <w:r>
        <w:rPr>
          <w:rFonts w:hint="eastAsia" w:ascii="宋体" w:hAnsi="宋体" w:cs="宋体"/>
          <w:b/>
          <w:color w:val="000000"/>
          <w:sz w:val="30"/>
          <w:szCs w:val="30"/>
          <w:lang w:val="en-US" w:eastAsia="zh-CN"/>
        </w:rPr>
        <w:t>三</w:t>
      </w:r>
      <w:r>
        <w:rPr>
          <w:rFonts w:hint="eastAsia" w:ascii="宋体" w:hAnsi="宋体" w:cs="宋体"/>
          <w:b/>
          <w:color w:val="000000"/>
          <w:sz w:val="30"/>
          <w:szCs w:val="30"/>
        </w:rPr>
        <w:t xml:space="preserve"> 年 </w:t>
      </w:r>
      <w:r>
        <w:rPr>
          <w:rFonts w:hint="eastAsia" w:ascii="宋体" w:hAnsi="宋体" w:cs="宋体"/>
          <w:b/>
          <w:color w:val="000000"/>
          <w:sz w:val="30"/>
          <w:szCs w:val="30"/>
          <w:lang w:val="en-US" w:eastAsia="zh-CN"/>
        </w:rPr>
        <w:t xml:space="preserve">二 </w:t>
      </w:r>
      <w:r>
        <w:rPr>
          <w:rFonts w:hint="eastAsia" w:ascii="宋体" w:hAnsi="宋体" w:cs="宋体"/>
          <w:b/>
          <w:color w:val="000000"/>
          <w:sz w:val="30"/>
          <w:szCs w:val="30"/>
        </w:rPr>
        <w:t>月</w:t>
      </w:r>
    </w:p>
    <w:p>
      <w:pPr>
        <w:spacing w:line="360" w:lineRule="auto"/>
        <w:jc w:val="center"/>
        <w:rPr>
          <w:rFonts w:ascii="宋体" w:hAnsi="宋体" w:cs="宋体"/>
          <w:color w:val="000000"/>
        </w:rPr>
      </w:pPr>
    </w:p>
    <w:p>
      <w:pPr>
        <w:pStyle w:val="9"/>
      </w:pPr>
    </w:p>
    <w:p>
      <w:pPr>
        <w:pStyle w:val="2"/>
        <w:ind w:left="0" w:leftChars="0" w:firstLine="0" w:firstLineChars="0"/>
      </w:pPr>
    </w:p>
    <w:p>
      <w:pPr>
        <w:widowControl/>
        <w:spacing w:line="480" w:lineRule="auto"/>
        <w:jc w:val="both"/>
        <w:rPr>
          <w:rFonts w:hint="eastAsia" w:ascii="黑体" w:hAnsi="黑体" w:eastAsia="黑体" w:cs="宋体"/>
          <w:b/>
          <w:kern w:val="0"/>
          <w:sz w:val="32"/>
          <w:szCs w:val="32"/>
        </w:rPr>
      </w:pPr>
    </w:p>
    <w:p>
      <w:pPr>
        <w:keepNext w:val="0"/>
        <w:keepLines w:val="0"/>
        <w:pageBreakBefore w:val="0"/>
        <w:widowControl/>
        <w:kinsoku/>
        <w:wordWrap/>
        <w:overflowPunct/>
        <w:topLinePunct w:val="0"/>
        <w:autoSpaceDE/>
        <w:autoSpaceDN/>
        <w:bidi w:val="0"/>
        <w:adjustRightInd/>
        <w:snapToGrid/>
        <w:spacing w:line="720" w:lineRule="auto"/>
        <w:jc w:val="center"/>
        <w:textAlignment w:val="auto"/>
      </w:pPr>
      <w:r>
        <w:rPr>
          <w:rFonts w:hint="eastAsia" w:ascii="黑体" w:hAnsi="黑体" w:eastAsia="黑体" w:cs="宋体"/>
          <w:b/>
          <w:kern w:val="0"/>
          <w:sz w:val="32"/>
          <w:szCs w:val="32"/>
        </w:rPr>
        <w:t>重 要 提 示</w:t>
      </w:r>
    </w:p>
    <w:p>
      <w:pPr>
        <w:keepNext w:val="0"/>
        <w:keepLines w:val="0"/>
        <w:pageBreakBefore w:val="0"/>
        <w:widowControl/>
        <w:kinsoku/>
        <w:wordWrap/>
        <w:overflowPunct/>
        <w:topLinePunct w:val="0"/>
        <w:autoSpaceDE/>
        <w:autoSpaceDN/>
        <w:bidi w:val="0"/>
        <w:adjustRightInd/>
        <w:snapToGrid/>
        <w:spacing w:line="720" w:lineRule="auto"/>
        <w:jc w:val="left"/>
        <w:textAlignment w:val="auto"/>
        <w:rPr>
          <w:rFonts w:ascii="仿宋" w:hAnsi="仿宋" w:eastAsia="仿宋" w:cs="仿宋"/>
          <w:bCs/>
          <w:kern w:val="0"/>
          <w:sz w:val="32"/>
          <w:szCs w:val="32"/>
        </w:rPr>
      </w:pPr>
      <w:r>
        <w:rPr>
          <w:rFonts w:hint="eastAsia" w:ascii="仿宋" w:hAnsi="仿宋" w:eastAsia="仿宋" w:cs="仿宋"/>
          <w:bCs/>
          <w:kern w:val="0"/>
          <w:sz w:val="32"/>
          <w:szCs w:val="32"/>
        </w:rPr>
        <w:t>各谈判响应人：</w:t>
      </w:r>
    </w:p>
    <w:p>
      <w:pPr>
        <w:keepNext w:val="0"/>
        <w:keepLines w:val="0"/>
        <w:pageBreakBefore w:val="0"/>
        <w:widowControl/>
        <w:kinsoku/>
        <w:wordWrap/>
        <w:overflowPunct/>
        <w:topLinePunct w:val="0"/>
        <w:autoSpaceDE/>
        <w:autoSpaceDN/>
        <w:bidi w:val="0"/>
        <w:adjustRightInd/>
        <w:snapToGrid/>
        <w:spacing w:line="720" w:lineRule="auto"/>
        <w:ind w:firstLine="640" w:firstLineChars="200"/>
        <w:jc w:val="left"/>
        <w:textAlignment w:val="auto"/>
        <w:rPr>
          <w:rFonts w:ascii="仿宋" w:hAnsi="仿宋" w:eastAsia="仿宋" w:cs="仿宋"/>
          <w:bCs/>
          <w:kern w:val="0"/>
          <w:sz w:val="32"/>
          <w:szCs w:val="32"/>
        </w:rPr>
      </w:pPr>
      <w:r>
        <w:rPr>
          <w:rFonts w:hint="eastAsia" w:ascii="仿宋" w:hAnsi="仿宋" w:eastAsia="仿宋" w:cs="仿宋"/>
          <w:bCs/>
          <w:kern w:val="0"/>
          <w:sz w:val="32"/>
          <w:szCs w:val="32"/>
        </w:rPr>
        <w:t>鉴于新冠肺炎疫情防控工作需要，要求如下：</w:t>
      </w:r>
      <w:r>
        <w:rPr>
          <w:rFonts w:ascii="仿宋" w:hAnsi="仿宋" w:eastAsia="仿宋" w:cs="仿宋"/>
          <w:bCs/>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720" w:lineRule="auto"/>
        <w:ind w:firstLine="640" w:firstLineChars="200"/>
        <w:jc w:val="left"/>
        <w:textAlignment w:val="auto"/>
        <w:rPr>
          <w:rFonts w:ascii="仿宋" w:hAnsi="仿宋" w:eastAsia="仿宋" w:cs="仿宋"/>
          <w:bCs/>
          <w:kern w:val="0"/>
          <w:sz w:val="32"/>
          <w:szCs w:val="32"/>
        </w:rPr>
      </w:pPr>
      <w:r>
        <w:rPr>
          <w:rFonts w:hint="eastAsia" w:ascii="仿宋" w:hAnsi="仿宋" w:eastAsia="仿宋" w:cs="仿宋"/>
          <w:bCs/>
          <w:kern w:val="0"/>
          <w:sz w:val="32"/>
          <w:szCs w:val="32"/>
        </w:rPr>
        <w:t>一、本项目各谈判响应人仅能派一名身体健康、无咳嗽、发烧等不良症状的法定代表人或其委托代理人到达开标现场。</w:t>
      </w:r>
      <w:r>
        <w:rPr>
          <w:rFonts w:hint="eastAsia" w:ascii="仿宋" w:hAnsi="仿宋" w:eastAsia="仿宋" w:cs="仿宋"/>
          <w:b/>
          <w:bCs/>
          <w:kern w:val="0"/>
          <w:sz w:val="32"/>
          <w:szCs w:val="32"/>
        </w:rPr>
        <w:t>法定代表人或其委托代理人须符合以下情形，否则谈判响应文件将不予接收。</w:t>
      </w:r>
    </w:p>
    <w:p>
      <w:pPr>
        <w:keepNext w:val="0"/>
        <w:keepLines w:val="0"/>
        <w:pageBreakBefore w:val="0"/>
        <w:kinsoku/>
        <w:wordWrap/>
        <w:overflowPunct/>
        <w:topLinePunct w:val="0"/>
        <w:autoSpaceDE/>
        <w:autoSpaceDN/>
        <w:bidi w:val="0"/>
        <w:adjustRightInd/>
        <w:snapToGrid/>
        <w:spacing w:line="720" w:lineRule="auto"/>
        <w:ind w:firstLine="640" w:firstLineChars="200"/>
        <w:textAlignment w:val="auto"/>
        <w:rPr>
          <w:rFonts w:ascii="仿宋" w:hAnsi="仿宋" w:eastAsia="仿宋" w:cs="仿宋"/>
          <w:bCs/>
          <w:kern w:val="0"/>
          <w:sz w:val="32"/>
          <w:szCs w:val="32"/>
        </w:rPr>
      </w:pPr>
      <w:r>
        <w:rPr>
          <w:rFonts w:hint="eastAsia" w:ascii="仿宋" w:hAnsi="仿宋" w:eastAsia="仿宋" w:cs="仿宋"/>
          <w:bCs/>
          <w:kern w:val="0"/>
          <w:sz w:val="32"/>
          <w:szCs w:val="32"/>
        </w:rPr>
        <w:t>二、鉴于新冠肺炎疫情防控工作需要，本项目将于开标前半小时在安庆市公共资源交易中心（龙山路21</w:t>
      </w:r>
      <w:r>
        <w:rPr>
          <w:rFonts w:hint="eastAsia" w:ascii="仿宋" w:hAnsi="仿宋" w:eastAsia="仿宋" w:cs="仿宋"/>
          <w:bCs/>
          <w:kern w:val="0"/>
          <w:sz w:val="32"/>
          <w:szCs w:val="32"/>
          <w:lang w:val="en-US" w:eastAsia="zh-CN"/>
        </w:rPr>
        <w:t>3</w:t>
      </w:r>
      <w:r>
        <w:rPr>
          <w:rFonts w:hint="eastAsia" w:ascii="仿宋" w:hAnsi="仿宋" w:eastAsia="仿宋" w:cs="仿宋"/>
          <w:bCs/>
          <w:kern w:val="0"/>
          <w:sz w:val="32"/>
          <w:szCs w:val="32"/>
        </w:rPr>
        <w:t>号）门口处接收谈判响应文件，授权书、身份证。响应文件递交成功后可暂时离开现场，如有询标或谈判事宜将电话通知（最终报价表由各响应人谈判后现场递交）。</w:t>
      </w:r>
    </w:p>
    <w:p>
      <w:pPr>
        <w:rPr>
          <w:rFonts w:ascii="宋体" w:hAnsi="宋体" w:cs="宋体"/>
          <w:color w:val="000000"/>
        </w:rPr>
      </w:pPr>
    </w:p>
    <w:p>
      <w:pPr>
        <w:pStyle w:val="2"/>
        <w:ind w:left="0" w:firstLine="0"/>
        <w:rPr>
          <w:rFonts w:ascii="宋体" w:hAnsi="宋体" w:cs="宋体"/>
          <w:color w:val="000000"/>
        </w:rPr>
      </w:pPr>
    </w:p>
    <w:p>
      <w:pPr>
        <w:pStyle w:val="2"/>
        <w:ind w:left="0" w:firstLine="0"/>
        <w:rPr>
          <w:rFonts w:ascii="宋体" w:hAnsi="宋体" w:cs="宋体"/>
          <w:color w:val="000000"/>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醒</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8.利诱、欺骗招标人违反相关规定按其意图设置谈判文件条款的违法违规行为。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9.窃取项目谈判响应人报名情况、谈判小组组成人员等保密信息。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10.领导干部违反规定插手干预项目招投标活动。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11.干部职工在招投标活动中与黑恶势力勾结，充当保护伞。</w:t>
      </w: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二、请各谈判响应人认真阅读谈判文件，对下述事项予以重视：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1、请依据项目资格要求，自行核对营业执照合法有效。</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2、对投标活动中可能发生的质疑、投诉行为，须依法在规定的时间内提出。</w:t>
      </w: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pStyle w:val="16"/>
        <w:rPr>
          <w:rFonts w:ascii="宋体" w:hAnsi="宋体" w:cs="宋体"/>
          <w:b/>
          <w:color w:val="000000"/>
          <w:sz w:val="36"/>
          <w:szCs w:val="36"/>
        </w:rPr>
      </w:pPr>
    </w:p>
    <w:p>
      <w:pPr>
        <w:pStyle w:val="16"/>
        <w:rPr>
          <w:rFonts w:ascii="宋体" w:hAnsi="宋体" w:cs="宋体"/>
          <w:b/>
          <w:color w:val="000000"/>
          <w:sz w:val="36"/>
          <w:szCs w:val="36"/>
        </w:rPr>
      </w:pPr>
    </w:p>
    <w:p>
      <w:pPr>
        <w:pStyle w:val="16"/>
        <w:rPr>
          <w:rFonts w:ascii="宋体" w:hAnsi="宋体" w:cs="宋体"/>
          <w:b/>
          <w:color w:val="000000"/>
          <w:sz w:val="36"/>
          <w:szCs w:val="36"/>
        </w:rPr>
      </w:pPr>
    </w:p>
    <w:p>
      <w:pPr>
        <w:pStyle w:val="16"/>
        <w:rPr>
          <w:rFonts w:ascii="宋体" w:hAnsi="宋体" w:cs="宋体"/>
          <w:b/>
          <w:color w:val="000000"/>
          <w:sz w:val="36"/>
          <w:szCs w:val="36"/>
        </w:rPr>
      </w:pPr>
    </w:p>
    <w:p>
      <w:pPr>
        <w:pStyle w:val="16"/>
        <w:rPr>
          <w:rFonts w:ascii="宋体" w:hAnsi="宋体" w:cs="宋体"/>
          <w:b/>
          <w:color w:val="000000"/>
          <w:sz w:val="36"/>
          <w:szCs w:val="36"/>
        </w:rPr>
      </w:pPr>
    </w:p>
    <w:p>
      <w:pPr>
        <w:pStyle w:val="16"/>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jc w:val="center"/>
        <w:outlineLvl w:val="0"/>
        <w:rPr>
          <w:rFonts w:ascii="宋体" w:hAnsi="宋体" w:cs="宋体"/>
          <w:b/>
          <w:color w:val="000000"/>
          <w:sz w:val="36"/>
          <w:szCs w:val="36"/>
        </w:rPr>
      </w:pPr>
      <w:bookmarkStart w:id="0" w:name="_Toc28541"/>
      <w:bookmarkStart w:id="1" w:name="_Toc28575"/>
      <w:bookmarkStart w:id="2" w:name="_Toc20545"/>
      <w:r>
        <w:rPr>
          <w:rFonts w:hint="eastAsia" w:ascii="宋体" w:hAnsi="宋体" w:cs="宋体"/>
          <w:b/>
          <w:color w:val="000000"/>
          <w:sz w:val="36"/>
          <w:szCs w:val="36"/>
        </w:rPr>
        <w:t>目   录</w:t>
      </w:r>
      <w:bookmarkEnd w:id="0"/>
      <w:bookmarkEnd w:id="1"/>
      <w:bookmarkEnd w:id="2"/>
    </w:p>
    <w:p>
      <w:pPr>
        <w:pStyle w:val="18"/>
        <w:tabs>
          <w:tab w:val="right" w:leader="dot" w:pos="9070"/>
          <w:tab w:val="clear" w:pos="1260"/>
          <w:tab w:val="clear" w:pos="9060"/>
        </w:tabs>
      </w:pPr>
      <w:r>
        <w:rPr>
          <w:rFonts w:ascii="宋体" w:hAnsi="宋体" w:cs="宋体"/>
          <w:color w:val="000000"/>
        </w:rPr>
        <w:fldChar w:fldCharType="begin"/>
      </w:r>
      <w:r>
        <w:rPr>
          <w:rFonts w:ascii="宋体" w:hAnsi="宋体" w:cs="宋体"/>
          <w:color w:val="000000"/>
        </w:rPr>
        <w:instrText xml:space="preserve">TOC \o "1-1" \h \u </w:instrText>
      </w:r>
      <w:r>
        <w:rPr>
          <w:rFonts w:ascii="宋体" w:hAnsi="宋体" w:cs="宋体"/>
          <w:color w:val="000000"/>
        </w:rPr>
        <w:fldChar w:fldCharType="separate"/>
      </w:r>
      <w:r>
        <w:fldChar w:fldCharType="begin"/>
      </w:r>
      <w:r>
        <w:instrText xml:space="preserve"> HYPERLINK \l "_Toc17841" </w:instrText>
      </w:r>
      <w:r>
        <w:fldChar w:fldCharType="separate"/>
      </w:r>
      <w:r>
        <w:rPr>
          <w:rFonts w:hint="eastAsia" w:ascii="宋体" w:hAnsi="宋体" w:cs="宋体"/>
          <w:bCs/>
          <w:szCs w:val="32"/>
        </w:rPr>
        <w:t>第一章   竞争性谈判公告</w:t>
      </w:r>
      <w:r>
        <w:tab/>
      </w:r>
      <w:r>
        <w:fldChar w:fldCharType="begin"/>
      </w:r>
      <w:r>
        <w:instrText xml:space="preserve"> PAGEREF _Toc17841 \h </w:instrText>
      </w:r>
      <w:r>
        <w:fldChar w:fldCharType="separate"/>
      </w:r>
      <w:r>
        <w:t>1</w:t>
      </w:r>
      <w:r>
        <w:fldChar w:fldCharType="end"/>
      </w:r>
      <w:r>
        <w:fldChar w:fldCharType="end"/>
      </w:r>
    </w:p>
    <w:p>
      <w:pPr>
        <w:pStyle w:val="18"/>
        <w:tabs>
          <w:tab w:val="right" w:leader="dot" w:pos="9070"/>
          <w:tab w:val="clear" w:pos="1260"/>
          <w:tab w:val="clear" w:pos="9060"/>
        </w:tabs>
      </w:pPr>
      <w:r>
        <w:fldChar w:fldCharType="begin"/>
      </w:r>
      <w:r>
        <w:instrText xml:space="preserve"> HYPERLINK \l "_Toc9734" </w:instrText>
      </w:r>
      <w:r>
        <w:fldChar w:fldCharType="separate"/>
      </w:r>
      <w:r>
        <w:rPr>
          <w:rFonts w:hint="eastAsia" w:ascii="宋体" w:hAnsi="宋体" w:cs="宋体"/>
        </w:rPr>
        <w:t>第二章   谈判响应人须知</w:t>
      </w:r>
      <w:r>
        <w:tab/>
      </w:r>
      <w:r>
        <w:fldChar w:fldCharType="begin"/>
      </w:r>
      <w:r>
        <w:instrText xml:space="preserve"> PAGEREF _Toc9734 \h </w:instrText>
      </w:r>
      <w:r>
        <w:fldChar w:fldCharType="separate"/>
      </w:r>
      <w:r>
        <w:t>5</w:t>
      </w:r>
      <w:r>
        <w:fldChar w:fldCharType="end"/>
      </w:r>
      <w:r>
        <w:fldChar w:fldCharType="end"/>
      </w:r>
    </w:p>
    <w:p>
      <w:pPr>
        <w:pStyle w:val="18"/>
        <w:tabs>
          <w:tab w:val="right" w:leader="dot" w:pos="9070"/>
          <w:tab w:val="clear" w:pos="1260"/>
          <w:tab w:val="clear" w:pos="9060"/>
        </w:tabs>
      </w:pPr>
      <w:r>
        <w:fldChar w:fldCharType="begin"/>
      </w:r>
      <w:r>
        <w:instrText xml:space="preserve"> HYPERLINK \l "_Toc28823" </w:instrText>
      </w:r>
      <w:r>
        <w:fldChar w:fldCharType="separate"/>
      </w:r>
      <w:r>
        <w:rPr>
          <w:rFonts w:hint="eastAsia" w:ascii="宋体" w:hAnsi="宋体" w:cs="宋体"/>
        </w:rPr>
        <w:t>第三章   服务需求及技术要求</w:t>
      </w:r>
      <w:r>
        <w:tab/>
      </w:r>
      <w:r>
        <w:fldChar w:fldCharType="begin"/>
      </w:r>
      <w:r>
        <w:instrText xml:space="preserve"> PAGEREF _Toc28823 \h </w:instrText>
      </w:r>
      <w:r>
        <w:fldChar w:fldCharType="separate"/>
      </w:r>
      <w:r>
        <w:t>18</w:t>
      </w:r>
      <w:r>
        <w:fldChar w:fldCharType="end"/>
      </w:r>
      <w:r>
        <w:fldChar w:fldCharType="end"/>
      </w:r>
    </w:p>
    <w:p>
      <w:pPr>
        <w:pStyle w:val="18"/>
        <w:tabs>
          <w:tab w:val="right" w:leader="dot" w:pos="9070"/>
          <w:tab w:val="clear" w:pos="1260"/>
          <w:tab w:val="clear" w:pos="9060"/>
        </w:tabs>
      </w:pPr>
      <w:r>
        <w:fldChar w:fldCharType="begin"/>
      </w:r>
      <w:r>
        <w:instrText xml:space="preserve"> HYPERLINK \l "_Toc21671" </w:instrText>
      </w:r>
      <w:r>
        <w:fldChar w:fldCharType="separate"/>
      </w:r>
      <w:r>
        <w:rPr>
          <w:rFonts w:hint="eastAsia" w:ascii="宋体" w:hAnsi="宋体" w:cs="宋体"/>
        </w:rPr>
        <w:t>第四章   合同主要条款</w:t>
      </w:r>
      <w:r>
        <w:tab/>
      </w:r>
      <w:r>
        <w:fldChar w:fldCharType="begin"/>
      </w:r>
      <w:r>
        <w:instrText xml:space="preserve"> PAGEREF _Toc21671 \h </w:instrText>
      </w:r>
      <w:r>
        <w:fldChar w:fldCharType="separate"/>
      </w:r>
      <w:r>
        <w:t>22</w:t>
      </w:r>
      <w:r>
        <w:fldChar w:fldCharType="end"/>
      </w:r>
      <w:r>
        <w:fldChar w:fldCharType="end"/>
      </w:r>
    </w:p>
    <w:p>
      <w:pPr>
        <w:pStyle w:val="18"/>
        <w:tabs>
          <w:tab w:val="right" w:leader="dot" w:pos="9070"/>
          <w:tab w:val="clear" w:pos="1260"/>
          <w:tab w:val="clear" w:pos="9060"/>
        </w:tabs>
      </w:pPr>
      <w:r>
        <w:fldChar w:fldCharType="begin"/>
      </w:r>
      <w:r>
        <w:instrText xml:space="preserve"> HYPERLINK \l "_Toc2526" </w:instrText>
      </w:r>
      <w:r>
        <w:fldChar w:fldCharType="separate"/>
      </w:r>
      <w:r>
        <w:rPr>
          <w:rFonts w:hint="eastAsia" w:ascii="宋体" w:hAnsi="宋体" w:cs="宋体"/>
        </w:rPr>
        <w:t>第五章   谈判响应文件格式</w:t>
      </w:r>
      <w:r>
        <w:tab/>
      </w:r>
      <w:r>
        <w:fldChar w:fldCharType="begin"/>
      </w:r>
      <w:r>
        <w:instrText xml:space="preserve"> PAGEREF _Toc2526 \h </w:instrText>
      </w:r>
      <w:r>
        <w:fldChar w:fldCharType="separate"/>
      </w:r>
      <w:r>
        <w:t>24</w:t>
      </w:r>
      <w:r>
        <w:fldChar w:fldCharType="end"/>
      </w:r>
      <w:r>
        <w:fldChar w:fldCharType="end"/>
      </w:r>
    </w:p>
    <w:p>
      <w:pPr>
        <w:pStyle w:val="11"/>
        <w:tabs>
          <w:tab w:val="right" w:leader="dot" w:pos="9060"/>
        </w:tabs>
        <w:spacing w:line="240" w:lineRule="auto"/>
        <w:ind w:left="0" w:leftChars="0"/>
        <w:jc w:val="center"/>
        <w:outlineLvl w:val="0"/>
        <w:rPr>
          <w:rFonts w:ascii="宋体" w:hAnsi="宋体" w:cs="宋体"/>
          <w:color w:val="000000"/>
        </w:rPr>
        <w:sectPr>
          <w:headerReference r:id="rId3" w:type="default"/>
          <w:footerReference r:id="rId4" w:type="default"/>
          <w:pgSz w:w="11906" w:h="16838"/>
          <w:pgMar w:top="1417" w:right="1418" w:bottom="1276" w:left="1418" w:header="680" w:footer="680" w:gutter="0"/>
          <w:pgNumType w:start="1"/>
          <w:cols w:space="720" w:num="1"/>
          <w:docGrid w:type="lines" w:linePitch="312" w:charSpace="0"/>
        </w:sectPr>
      </w:pPr>
      <w:r>
        <w:rPr>
          <w:rFonts w:ascii="宋体" w:hAnsi="宋体" w:cs="宋体"/>
          <w:color w:val="000000"/>
        </w:rPr>
        <w:fldChar w:fldCharType="end"/>
      </w:r>
    </w:p>
    <w:p>
      <w:pPr>
        <w:pStyle w:val="11"/>
        <w:tabs>
          <w:tab w:val="right" w:leader="dot" w:pos="9060"/>
        </w:tabs>
        <w:spacing w:line="240" w:lineRule="auto"/>
        <w:ind w:left="0" w:leftChars="0"/>
        <w:jc w:val="center"/>
        <w:outlineLvl w:val="0"/>
        <w:rPr>
          <w:rStyle w:val="35"/>
          <w:rFonts w:ascii="宋体" w:hAnsi="宋体" w:cs="宋体"/>
          <w:b/>
          <w:bCs/>
          <w:color w:val="000000"/>
          <w:sz w:val="32"/>
          <w:szCs w:val="32"/>
        </w:rPr>
      </w:pPr>
      <w:bookmarkStart w:id="3" w:name="_Toc12698"/>
      <w:bookmarkStart w:id="4" w:name="_Toc17841"/>
      <w:r>
        <w:rPr>
          <w:rStyle w:val="35"/>
          <w:rFonts w:hint="eastAsia" w:ascii="宋体" w:hAnsi="宋体" w:cs="宋体"/>
          <w:b/>
          <w:bCs/>
          <w:color w:val="000000"/>
          <w:sz w:val="32"/>
          <w:szCs w:val="32"/>
        </w:rPr>
        <w:t>第一章   竞争性谈判公告</w:t>
      </w:r>
      <w:bookmarkEnd w:id="3"/>
      <w:bookmarkEnd w:id="4"/>
    </w:p>
    <w:p>
      <w:pPr>
        <w:jc w:val="center"/>
        <w:rPr>
          <w:rFonts w:hint="eastAsia" w:ascii="华文中宋" w:hAnsi="华文中宋" w:eastAsia="华文中宋"/>
          <w:b/>
          <w:bCs/>
          <w:kern w:val="44"/>
          <w:sz w:val="32"/>
          <w:szCs w:val="32"/>
          <w:lang w:eastAsia="zh-CN"/>
        </w:rPr>
      </w:pPr>
      <w:bookmarkStart w:id="5" w:name="_Toc35393797"/>
      <w:bookmarkStart w:id="6" w:name="_Toc28359011"/>
      <w:r>
        <w:rPr>
          <w:rFonts w:hint="eastAsia" w:ascii="华文中宋" w:hAnsi="华文中宋" w:eastAsia="华文中宋"/>
          <w:b/>
          <w:bCs/>
          <w:kern w:val="44"/>
          <w:sz w:val="32"/>
          <w:szCs w:val="32"/>
          <w:lang w:eastAsia="zh-CN"/>
        </w:rPr>
        <w:t>安庆市新闻传媒中心网络安全等级保护测评服务项目（三次）</w:t>
      </w:r>
    </w:p>
    <w:p>
      <w:pPr>
        <w:jc w:val="center"/>
        <w:rPr>
          <w:rFonts w:ascii="华文中宋" w:hAnsi="华文中宋" w:eastAsia="华文中宋"/>
          <w:b/>
          <w:bCs/>
          <w:kern w:val="44"/>
          <w:sz w:val="32"/>
          <w:szCs w:val="32"/>
        </w:rPr>
      </w:pPr>
      <w:r>
        <w:rPr>
          <w:rFonts w:hint="eastAsia" w:ascii="华文中宋" w:hAnsi="华文中宋" w:eastAsia="华文中宋"/>
          <w:b/>
          <w:bCs/>
          <w:kern w:val="44"/>
          <w:sz w:val="32"/>
          <w:szCs w:val="32"/>
        </w:rPr>
        <w:t>竞争性谈判公告</w:t>
      </w:r>
      <w:bookmarkEnd w:id="5"/>
      <w:bookmarkEnd w:id="6"/>
    </w:p>
    <w:tbl>
      <w:tblPr>
        <w:tblStyle w:val="23"/>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8"/>
                <w:szCs w:val="28"/>
              </w:rPr>
            </w:pPr>
            <w:r>
              <w:rPr>
                <w:rFonts w:hint="eastAsia" w:ascii="仿宋" w:hAnsi="仿宋" w:eastAsia="仿宋"/>
                <w:sz w:val="28"/>
                <w:szCs w:val="28"/>
              </w:rPr>
              <w:t>项目概况</w:t>
            </w:r>
          </w:p>
          <w:p>
            <w:r>
              <w:rPr>
                <w:rFonts w:hint="eastAsia" w:ascii="仿宋" w:hAnsi="仿宋" w:eastAsia="仿宋"/>
                <w:sz w:val="28"/>
                <w:szCs w:val="28"/>
                <w:u w:val="single"/>
                <w:lang w:eastAsia="zh-CN"/>
              </w:rPr>
              <w:t>安庆市新闻传媒中心网络安全等级保护测评服务项目（三次）</w:t>
            </w:r>
            <w:r>
              <w:rPr>
                <w:rFonts w:hint="eastAsia" w:ascii="仿宋" w:hAnsi="仿宋" w:eastAsia="仿宋"/>
                <w:sz w:val="28"/>
                <w:szCs w:val="28"/>
              </w:rPr>
              <w:t>的潜在供应商应于</w:t>
            </w:r>
            <w:r>
              <w:rPr>
                <w:rFonts w:hint="eastAsia" w:ascii="仿宋" w:hAnsi="仿宋" w:eastAsia="仿宋"/>
                <w:sz w:val="28"/>
                <w:szCs w:val="28"/>
                <w:lang w:eastAsia="zh-CN"/>
              </w:rPr>
              <w:t>2023年</w:t>
            </w:r>
            <w:r>
              <w:rPr>
                <w:rFonts w:hint="eastAsia" w:ascii="仿宋" w:hAnsi="仿宋" w:eastAsia="仿宋"/>
                <w:sz w:val="28"/>
                <w:szCs w:val="28"/>
                <w:lang w:val="en-US" w:eastAsia="zh-CN"/>
              </w:rPr>
              <w:t>3</w:t>
            </w:r>
            <w:r>
              <w:rPr>
                <w:rFonts w:hint="eastAsia" w:ascii="仿宋" w:hAnsi="仿宋" w:eastAsia="仿宋"/>
                <w:sz w:val="28"/>
                <w:szCs w:val="28"/>
                <w:lang w:eastAsia="zh-CN"/>
              </w:rPr>
              <w:t>月</w:t>
            </w:r>
            <w:r>
              <w:rPr>
                <w:rFonts w:hint="eastAsia" w:ascii="仿宋" w:hAnsi="仿宋" w:eastAsia="仿宋"/>
                <w:sz w:val="28"/>
                <w:szCs w:val="28"/>
                <w:lang w:val="en-US" w:eastAsia="zh-CN"/>
              </w:rPr>
              <w:t>2</w:t>
            </w:r>
            <w:r>
              <w:rPr>
                <w:rFonts w:hint="eastAsia" w:ascii="仿宋" w:hAnsi="仿宋" w:eastAsia="仿宋"/>
                <w:sz w:val="28"/>
                <w:szCs w:val="28"/>
                <w:lang w:eastAsia="zh-CN"/>
              </w:rPr>
              <w:t>日</w:t>
            </w:r>
            <w:r>
              <w:rPr>
                <w:rFonts w:hint="eastAsia" w:ascii="仿宋" w:hAnsi="仿宋" w:eastAsia="仿宋"/>
                <w:sz w:val="28"/>
                <w:szCs w:val="28"/>
                <w:lang w:val="en-US" w:eastAsia="zh-CN"/>
              </w:rPr>
              <w:t>9</w:t>
            </w:r>
            <w:r>
              <w:rPr>
                <w:rFonts w:hint="eastAsia" w:ascii="仿宋" w:hAnsi="仿宋" w:eastAsia="仿宋"/>
                <w:sz w:val="28"/>
                <w:szCs w:val="28"/>
                <w:lang w:eastAsia="zh-CN"/>
              </w:rPr>
              <w:t>时</w:t>
            </w:r>
            <w:r>
              <w:rPr>
                <w:rFonts w:hint="eastAsia" w:ascii="仿宋" w:hAnsi="仿宋" w:eastAsia="仿宋"/>
                <w:sz w:val="28"/>
                <w:szCs w:val="28"/>
                <w:lang w:val="en-US" w:eastAsia="zh-CN"/>
              </w:rPr>
              <w:t>30</w:t>
            </w:r>
            <w:r>
              <w:rPr>
                <w:rFonts w:hint="eastAsia" w:ascii="仿宋" w:hAnsi="仿宋" w:eastAsia="仿宋"/>
                <w:sz w:val="28"/>
                <w:szCs w:val="28"/>
                <w:lang w:eastAsia="zh-CN"/>
              </w:rPr>
              <w:t>分</w:t>
            </w:r>
            <w:r>
              <w:rPr>
                <w:rFonts w:hint="eastAsia" w:ascii="仿宋" w:hAnsi="仿宋" w:eastAsia="仿宋"/>
                <w:sz w:val="28"/>
                <w:szCs w:val="28"/>
              </w:rPr>
              <w:t>（北京时间）前提交响应文件。</w:t>
            </w:r>
            <w:r>
              <w:rPr>
                <w:rFonts w:hint="eastAsia" w:ascii="仿宋" w:hAnsi="仿宋" w:eastAsia="仿宋"/>
                <w:b/>
                <w:bCs/>
                <w:sz w:val="28"/>
                <w:szCs w:val="28"/>
              </w:rPr>
              <w:t> </w:t>
            </w:r>
          </w:p>
        </w:tc>
      </w:tr>
    </w:tbl>
    <w:p>
      <w:pPr>
        <w:rPr>
          <w:rFonts w:ascii="黑体" w:hAnsi="黑体" w:eastAsia="黑体" w:cs="宋体"/>
          <w:bCs/>
          <w:sz w:val="28"/>
          <w:szCs w:val="28"/>
        </w:rPr>
      </w:pPr>
      <w:r>
        <w:rPr>
          <w:rFonts w:ascii="Calibri" w:hAnsi="Calibri"/>
          <w:szCs w:val="21"/>
          <w:lang w:bidi="ar"/>
        </w:rPr>
        <w:t xml:space="preserve"> </w:t>
      </w:r>
      <w:bookmarkStart w:id="7" w:name="_Toc35393629"/>
      <w:bookmarkStart w:id="8" w:name="_Toc28359012"/>
      <w:bookmarkStart w:id="9" w:name="_Toc35393798"/>
      <w:bookmarkStart w:id="10" w:name="_Toc28359089"/>
      <w:r>
        <w:rPr>
          <w:rFonts w:hint="eastAsia" w:ascii="黑体" w:hAnsi="黑体" w:eastAsia="黑体" w:cs="宋体"/>
          <w:bCs/>
          <w:sz w:val="28"/>
          <w:szCs w:val="28"/>
        </w:rPr>
        <w:t>一、项目基本情况</w:t>
      </w:r>
      <w:bookmarkEnd w:id="7"/>
      <w:bookmarkEnd w:id="8"/>
      <w:bookmarkEnd w:id="9"/>
      <w:bookmarkEnd w:id="10"/>
    </w:p>
    <w:p>
      <w:pPr>
        <w:ind w:firstLine="708" w:firstLineChars="253"/>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eastAsia="zh-CN"/>
        </w:rPr>
        <w:t>CG-AQ-W2022-18</w:t>
      </w:r>
      <w:r>
        <w:rPr>
          <w:rFonts w:hint="eastAsia" w:ascii="仿宋" w:hAnsi="仿宋" w:eastAsia="仿宋"/>
          <w:sz w:val="28"/>
          <w:szCs w:val="28"/>
          <w:lang w:val="en-US" w:eastAsia="zh-CN"/>
        </w:rPr>
        <w:t>3</w:t>
      </w:r>
    </w:p>
    <w:p>
      <w:pPr>
        <w:ind w:firstLine="708" w:firstLineChars="253"/>
        <w:rPr>
          <w:rFonts w:hint="eastAsia" w:ascii="仿宋" w:hAnsi="仿宋" w:eastAsia="仿宋"/>
          <w:sz w:val="28"/>
          <w:szCs w:val="28"/>
          <w:lang w:eastAsia="zh-CN"/>
        </w:rPr>
      </w:pPr>
      <w:r>
        <w:rPr>
          <w:rFonts w:hint="eastAsia" w:ascii="仿宋" w:hAnsi="仿宋" w:eastAsia="仿宋"/>
          <w:sz w:val="28"/>
          <w:szCs w:val="28"/>
        </w:rPr>
        <w:t>项目名称：</w:t>
      </w:r>
      <w:r>
        <w:rPr>
          <w:rFonts w:hint="eastAsia" w:ascii="仿宋" w:hAnsi="仿宋" w:eastAsia="仿宋"/>
          <w:sz w:val="28"/>
          <w:szCs w:val="28"/>
          <w:lang w:eastAsia="zh-CN"/>
        </w:rPr>
        <w:t>安庆市新闻传媒中心网络安全等级保护测评服务项目（三次）</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cs="仿宋"/>
          <w:sz w:val="28"/>
          <w:szCs w:val="28"/>
        </w:rPr>
        <w:t xml:space="preserve">竞争性谈判 </w:t>
      </w:r>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16万元</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最高限价：</w:t>
      </w:r>
      <w:r>
        <w:rPr>
          <w:rFonts w:hint="eastAsia" w:ascii="仿宋" w:hAnsi="仿宋" w:eastAsia="仿宋"/>
          <w:sz w:val="28"/>
          <w:szCs w:val="28"/>
          <w:highlight w:val="none"/>
          <w:lang w:val="en-US" w:eastAsia="zh-CN"/>
        </w:rPr>
        <w:t>16万元</w:t>
      </w:r>
    </w:p>
    <w:p>
      <w:pPr>
        <w:ind w:firstLine="560" w:firstLineChars="200"/>
        <w:rPr>
          <w:rFonts w:ascii="仿宋" w:hAnsi="仿宋" w:eastAsia="仿宋"/>
          <w:sz w:val="28"/>
          <w:szCs w:val="28"/>
        </w:rPr>
      </w:pPr>
      <w:r>
        <w:rPr>
          <w:rFonts w:hint="eastAsia" w:ascii="仿宋" w:hAnsi="仿宋" w:eastAsia="仿宋"/>
          <w:sz w:val="28"/>
          <w:szCs w:val="28"/>
        </w:rPr>
        <w:t>采购需求：</w:t>
      </w:r>
      <w:bookmarkStart w:id="129" w:name="_GoBack"/>
      <w:r>
        <w:rPr>
          <w:rFonts w:hint="eastAsia" w:ascii="仿宋" w:hAnsi="仿宋" w:eastAsia="仿宋"/>
          <w:sz w:val="28"/>
          <w:szCs w:val="28"/>
        </w:rPr>
        <w:t>网络安全等级保护测评服务</w:t>
      </w:r>
      <w:bookmarkEnd w:id="129"/>
      <w:r>
        <w:rPr>
          <w:rFonts w:hint="eastAsia" w:ascii="仿宋" w:hAnsi="仿宋" w:eastAsia="仿宋"/>
          <w:sz w:val="28"/>
          <w:szCs w:val="28"/>
        </w:rPr>
        <w:t>，详见附件。</w:t>
      </w:r>
    </w:p>
    <w:p>
      <w:pPr>
        <w:ind w:firstLine="560" w:firstLineChars="200"/>
        <w:rPr>
          <w:rFonts w:ascii="仿宋" w:hAnsi="仿宋" w:eastAsia="仿宋"/>
          <w:sz w:val="28"/>
          <w:szCs w:val="28"/>
        </w:rPr>
      </w:pPr>
      <w:r>
        <w:rPr>
          <w:rFonts w:hint="eastAsia" w:ascii="仿宋" w:hAnsi="仿宋" w:eastAsia="仿宋"/>
          <w:sz w:val="28"/>
          <w:szCs w:val="28"/>
        </w:rPr>
        <w:t>评标办法：</w:t>
      </w:r>
      <w:r>
        <w:rPr>
          <w:rFonts w:hint="eastAsia" w:ascii="仿宋" w:hAnsi="仿宋" w:eastAsia="仿宋" w:cs="仿宋"/>
          <w:sz w:val="28"/>
          <w:szCs w:val="28"/>
        </w:rPr>
        <w:t>最低评</w:t>
      </w:r>
      <w:r>
        <w:rPr>
          <w:rFonts w:hint="eastAsia" w:ascii="仿宋" w:hAnsi="仿宋" w:eastAsia="仿宋" w:cs="仿宋"/>
          <w:sz w:val="28"/>
          <w:szCs w:val="28"/>
          <w:lang w:val="en-US" w:eastAsia="zh-CN"/>
        </w:rPr>
        <w:t>标价</w:t>
      </w:r>
      <w:r>
        <w:rPr>
          <w:rFonts w:hint="eastAsia" w:ascii="仿宋" w:hAnsi="仿宋" w:eastAsia="仿宋" w:cs="仿宋"/>
          <w:sz w:val="28"/>
          <w:szCs w:val="28"/>
        </w:rPr>
        <w:t>法</w:t>
      </w:r>
    </w:p>
    <w:p>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合同履行期限</w:t>
      </w:r>
      <w:r>
        <w:rPr>
          <w:rFonts w:hint="eastAsia" w:ascii="仿宋" w:hAnsi="仿宋" w:eastAsia="仿宋"/>
          <w:sz w:val="28"/>
          <w:szCs w:val="28"/>
          <w:highlight w:val="none"/>
        </w:rPr>
        <w:t>：</w:t>
      </w:r>
      <w:r>
        <w:rPr>
          <w:rFonts w:hint="eastAsia" w:ascii="仿宋" w:hAnsi="仿宋" w:eastAsia="仿宋"/>
          <w:sz w:val="28"/>
          <w:szCs w:val="28"/>
          <w:highlight w:val="none"/>
          <w:lang w:eastAsia="zh-CN"/>
        </w:rPr>
        <w:t>等保测评服务合同签订之后30日历天内完成等保测评</w:t>
      </w:r>
    </w:p>
    <w:p>
      <w:pPr>
        <w:ind w:firstLine="560" w:firstLineChars="200"/>
        <w:rPr>
          <w:rFonts w:ascii="仿宋" w:hAnsi="仿宋" w:eastAsia="仿宋"/>
          <w:sz w:val="28"/>
          <w:szCs w:val="28"/>
        </w:rPr>
      </w:pPr>
      <w:r>
        <w:rPr>
          <w:rFonts w:hint="eastAsia" w:ascii="仿宋" w:hAnsi="仿宋" w:eastAsia="仿宋"/>
          <w:sz w:val="28"/>
          <w:szCs w:val="28"/>
        </w:rPr>
        <w:t>本项目不接受联合体。</w:t>
      </w:r>
    </w:p>
    <w:p>
      <w:pPr>
        <w:rPr>
          <w:rFonts w:ascii="黑体" w:hAnsi="黑体" w:eastAsia="黑体" w:cs="宋体"/>
          <w:bCs/>
          <w:sz w:val="28"/>
          <w:szCs w:val="28"/>
        </w:rPr>
      </w:pPr>
      <w:bookmarkStart w:id="11" w:name="_Toc35393630"/>
      <w:bookmarkStart w:id="12" w:name="_Toc28359013"/>
      <w:bookmarkStart w:id="13" w:name="_Toc28359090"/>
      <w:bookmarkStart w:id="14" w:name="_Toc35393799"/>
      <w:r>
        <w:rPr>
          <w:rFonts w:hint="eastAsia" w:ascii="黑体" w:hAnsi="黑体" w:eastAsia="黑体" w:cs="宋体"/>
          <w:bCs/>
          <w:sz w:val="28"/>
          <w:szCs w:val="28"/>
        </w:rPr>
        <w:t>二、申请人的资格要求：</w:t>
      </w:r>
      <w:bookmarkEnd w:id="11"/>
      <w:bookmarkEnd w:id="12"/>
      <w:bookmarkEnd w:id="13"/>
      <w:bookmarkEnd w:id="14"/>
    </w:p>
    <w:p>
      <w:pPr>
        <w:ind w:firstLine="708" w:firstLineChars="253"/>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708" w:firstLineChars="253"/>
        <w:rPr>
          <w:rFonts w:ascii="仿宋" w:hAnsi="仿宋" w:eastAsia="仿宋"/>
          <w:sz w:val="28"/>
          <w:szCs w:val="28"/>
        </w:rPr>
      </w:pPr>
      <w:bookmarkStart w:id="15" w:name="_Toc28359014"/>
      <w:bookmarkStart w:id="16" w:name="_Toc28359091"/>
      <w:r>
        <w:rPr>
          <w:rFonts w:hint="eastAsia" w:ascii="仿宋" w:hAnsi="仿宋" w:eastAsia="仿宋"/>
          <w:sz w:val="28"/>
          <w:szCs w:val="28"/>
        </w:rPr>
        <w:t>2.落实政府采购政策需满足的资格要求：/</w:t>
      </w:r>
    </w:p>
    <w:p>
      <w:pPr>
        <w:ind w:firstLine="708" w:firstLineChars="253"/>
        <w:rPr>
          <w:rFonts w:ascii="仿宋" w:hAnsi="仿宋" w:eastAsia="仿宋"/>
          <w:sz w:val="28"/>
          <w:szCs w:val="28"/>
        </w:rPr>
      </w:pPr>
      <w:r>
        <w:rPr>
          <w:rFonts w:hint="eastAsia" w:ascii="仿宋" w:hAnsi="仿宋" w:eastAsia="仿宋"/>
          <w:sz w:val="28"/>
          <w:szCs w:val="28"/>
        </w:rPr>
        <w:t>3.本项目的特定资格要求：供应商需具备经公安部第三研究所认证发布的《网络安全等级测评与检测评估机构服务认证证书》</w:t>
      </w:r>
    </w:p>
    <w:p>
      <w:pPr>
        <w:rPr>
          <w:rFonts w:ascii="黑体" w:hAnsi="黑体" w:eastAsia="黑体" w:cs="宋体"/>
          <w:bCs/>
          <w:sz w:val="28"/>
          <w:szCs w:val="28"/>
        </w:rPr>
      </w:pPr>
      <w:bookmarkStart w:id="17" w:name="_Toc35393800"/>
      <w:bookmarkStart w:id="18" w:name="_Toc35393631"/>
      <w:r>
        <w:rPr>
          <w:rFonts w:hint="eastAsia" w:ascii="黑体" w:hAnsi="黑体" w:eastAsia="黑体" w:cs="宋体"/>
          <w:bCs/>
          <w:sz w:val="28"/>
          <w:szCs w:val="28"/>
        </w:rPr>
        <w:t>三、获取采购文件</w:t>
      </w:r>
      <w:bookmarkEnd w:id="15"/>
      <w:bookmarkEnd w:id="16"/>
      <w:bookmarkEnd w:id="17"/>
      <w:bookmarkEnd w:id="18"/>
    </w:p>
    <w:p>
      <w:pPr>
        <w:ind w:firstLine="565" w:firstLineChars="202"/>
        <w:rPr>
          <w:rFonts w:ascii="仿宋" w:hAnsi="仿宋" w:eastAsia="仿宋" w:cs="宋体"/>
          <w:sz w:val="28"/>
          <w:szCs w:val="28"/>
        </w:rPr>
      </w:pPr>
      <w:bookmarkStart w:id="19" w:name="_Toc35393801"/>
      <w:bookmarkStart w:id="20" w:name="_Toc28359015"/>
      <w:bookmarkStart w:id="21" w:name="_Toc28359092"/>
      <w:bookmarkStart w:id="22" w:name="_Toc35393632"/>
      <w:r>
        <w:rPr>
          <w:rFonts w:hint="eastAsia" w:ascii="仿宋" w:hAnsi="仿宋" w:eastAsia="仿宋" w:cs="仿宋"/>
          <w:kern w:val="0"/>
          <w:sz w:val="28"/>
          <w:szCs w:val="28"/>
        </w:rPr>
        <w:t>1</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潜在供应商于</w:t>
      </w:r>
      <w:r>
        <w:rPr>
          <w:rFonts w:hint="eastAsia" w:ascii="仿宋" w:hAnsi="仿宋" w:eastAsia="仿宋" w:cs="仿宋"/>
          <w:kern w:val="0"/>
          <w:sz w:val="28"/>
          <w:szCs w:val="28"/>
          <w:u w:val="single"/>
          <w:lang w:eastAsia="zh-CN"/>
        </w:rPr>
        <w:t>2023</w:t>
      </w:r>
      <w:r>
        <w:rPr>
          <w:rFonts w:hint="eastAsia" w:ascii="仿宋" w:hAnsi="仿宋" w:eastAsia="仿宋" w:cs="仿宋"/>
          <w:kern w:val="0"/>
          <w:sz w:val="28"/>
          <w:szCs w:val="28"/>
          <w:u w:val="single"/>
        </w:rPr>
        <w:t>年</w:t>
      </w:r>
      <w:r>
        <w:rPr>
          <w:rFonts w:hint="eastAsia" w:ascii="仿宋" w:hAnsi="仿宋" w:eastAsia="仿宋" w:cs="仿宋"/>
          <w:kern w:val="0"/>
          <w:sz w:val="28"/>
          <w:szCs w:val="28"/>
          <w:u w:val="single"/>
          <w:lang w:val="en-US" w:eastAsia="zh-CN"/>
        </w:rPr>
        <w:t>2</w:t>
      </w:r>
      <w:r>
        <w:rPr>
          <w:rFonts w:hint="eastAsia" w:ascii="仿宋" w:hAnsi="仿宋" w:eastAsia="仿宋" w:cs="仿宋"/>
          <w:kern w:val="0"/>
          <w:sz w:val="28"/>
          <w:szCs w:val="28"/>
          <w:u w:val="single"/>
        </w:rPr>
        <w:t>月</w:t>
      </w:r>
      <w:r>
        <w:rPr>
          <w:rFonts w:hint="eastAsia" w:ascii="仿宋" w:hAnsi="仿宋" w:eastAsia="仿宋" w:cs="仿宋"/>
          <w:kern w:val="0"/>
          <w:sz w:val="28"/>
          <w:szCs w:val="28"/>
          <w:u w:val="single"/>
          <w:lang w:val="en-US" w:eastAsia="zh-CN"/>
        </w:rPr>
        <w:t>23</w:t>
      </w:r>
      <w:r>
        <w:rPr>
          <w:rFonts w:hint="eastAsia" w:ascii="仿宋" w:hAnsi="仿宋" w:eastAsia="仿宋" w:cs="仿宋"/>
          <w:kern w:val="0"/>
          <w:sz w:val="28"/>
          <w:szCs w:val="28"/>
          <w:u w:val="single"/>
        </w:rPr>
        <w:t>日</w:t>
      </w:r>
      <w:r>
        <w:rPr>
          <w:rFonts w:hint="eastAsia" w:ascii="仿宋" w:hAnsi="仿宋" w:eastAsia="仿宋" w:cs="仿宋"/>
          <w:kern w:val="0"/>
          <w:sz w:val="28"/>
          <w:szCs w:val="28"/>
          <w:u w:val="single"/>
          <w:lang w:val="en-US" w:eastAsia="zh-CN"/>
        </w:rPr>
        <w:t>17</w:t>
      </w:r>
      <w:r>
        <w:rPr>
          <w:rFonts w:hint="eastAsia" w:ascii="仿宋" w:hAnsi="仿宋" w:eastAsia="仿宋" w:cs="仿宋"/>
          <w:kern w:val="0"/>
          <w:sz w:val="28"/>
          <w:szCs w:val="28"/>
          <w:u w:val="single"/>
        </w:rPr>
        <w:t>点</w:t>
      </w:r>
      <w:r>
        <w:rPr>
          <w:rFonts w:hint="eastAsia" w:ascii="仿宋" w:hAnsi="仿宋" w:eastAsia="仿宋" w:cs="仿宋"/>
          <w:kern w:val="0"/>
          <w:sz w:val="28"/>
          <w:szCs w:val="28"/>
          <w:u w:val="single"/>
          <w:lang w:val="en-US" w:eastAsia="zh-CN"/>
        </w:rPr>
        <w:t>30</w:t>
      </w:r>
      <w:r>
        <w:rPr>
          <w:rFonts w:hint="eastAsia" w:ascii="仿宋" w:hAnsi="仿宋" w:eastAsia="仿宋" w:cs="仿宋"/>
          <w:kern w:val="0"/>
          <w:sz w:val="28"/>
          <w:szCs w:val="28"/>
          <w:u w:val="single"/>
        </w:rPr>
        <w:t>分</w:t>
      </w:r>
      <w:r>
        <w:rPr>
          <w:rFonts w:hint="eastAsia" w:ascii="仿宋" w:hAnsi="仿宋" w:eastAsia="仿宋" w:cs="仿宋"/>
          <w:kern w:val="0"/>
          <w:sz w:val="28"/>
          <w:szCs w:val="28"/>
        </w:rPr>
        <w:t>前，将盖公章的获取竞争性谈判文件的函（详见附件）发送至邮箱</w:t>
      </w:r>
      <w:r>
        <w:rPr>
          <w:rFonts w:hint="eastAsia" w:ascii="仿宋" w:hAnsi="仿宋" w:eastAsia="仿宋" w:cs="仿宋"/>
          <w:kern w:val="0"/>
          <w:sz w:val="28"/>
          <w:szCs w:val="28"/>
          <w:lang w:eastAsia="zh-CN"/>
        </w:rPr>
        <w:t>3050346988</w:t>
      </w:r>
      <w:r>
        <w:rPr>
          <w:rFonts w:hint="eastAsia" w:ascii="仿宋" w:hAnsi="仿宋" w:eastAsia="仿宋" w:cs="仿宋"/>
          <w:kern w:val="0"/>
          <w:sz w:val="28"/>
          <w:szCs w:val="28"/>
        </w:rPr>
        <w:t>@qq.com。（超过时间的邮件无效，无法获取文件）</w:t>
      </w:r>
    </w:p>
    <w:p>
      <w:pPr>
        <w:ind w:firstLine="568" w:firstLineChars="202"/>
        <w:rPr>
          <w:rFonts w:ascii="仿宋" w:hAnsi="仿宋" w:eastAsia="仿宋" w:cs="仿宋"/>
          <w:b/>
          <w:bCs/>
          <w:kern w:val="0"/>
          <w:sz w:val="28"/>
          <w:szCs w:val="28"/>
        </w:rPr>
      </w:pPr>
      <w:r>
        <w:rPr>
          <w:rFonts w:hint="eastAsia" w:ascii="仿宋" w:hAnsi="仿宋" w:eastAsia="仿宋" w:cs="仿宋"/>
          <w:b/>
          <w:bCs/>
          <w:kern w:val="0"/>
          <w:sz w:val="28"/>
          <w:szCs w:val="28"/>
        </w:rPr>
        <w:t>2、谈判文件及相关资料工本费：人民币400元/套，售后不退。</w:t>
      </w:r>
    </w:p>
    <w:p>
      <w:pPr>
        <w:ind w:firstLine="565" w:firstLineChars="202"/>
        <w:rPr>
          <w:rFonts w:ascii="仿宋" w:hAnsi="仿宋" w:eastAsia="仿宋" w:cs="仿宋"/>
          <w:kern w:val="0"/>
          <w:sz w:val="28"/>
          <w:szCs w:val="28"/>
        </w:rPr>
      </w:pPr>
      <w:r>
        <w:rPr>
          <w:rFonts w:hint="eastAsia" w:ascii="仿宋" w:hAnsi="仿宋" w:eastAsia="仿宋" w:cs="仿宋"/>
          <w:kern w:val="0"/>
          <w:sz w:val="28"/>
          <w:szCs w:val="28"/>
        </w:rPr>
        <w:t>账户名：安庆市皖宜项目咨询管理有限公司  </w:t>
      </w:r>
    </w:p>
    <w:p>
      <w:pPr>
        <w:ind w:firstLine="565" w:firstLineChars="202"/>
        <w:rPr>
          <w:rFonts w:ascii="仿宋" w:hAnsi="仿宋" w:eastAsia="仿宋" w:cs="仿宋"/>
          <w:kern w:val="0"/>
          <w:sz w:val="28"/>
          <w:szCs w:val="28"/>
        </w:rPr>
      </w:pPr>
      <w:r>
        <w:rPr>
          <w:rFonts w:hint="eastAsia" w:ascii="仿宋" w:hAnsi="仿宋" w:eastAsia="仿宋" w:cs="仿宋"/>
          <w:kern w:val="0"/>
          <w:sz w:val="28"/>
          <w:szCs w:val="28"/>
        </w:rPr>
        <w:t>账号：188727830513 </w:t>
      </w:r>
    </w:p>
    <w:p>
      <w:pPr>
        <w:ind w:firstLine="565" w:firstLineChars="202"/>
        <w:rPr>
          <w:rFonts w:ascii="仿宋" w:hAnsi="仿宋" w:eastAsia="仿宋" w:cs="仿宋"/>
          <w:kern w:val="0"/>
          <w:sz w:val="28"/>
          <w:szCs w:val="28"/>
        </w:rPr>
      </w:pPr>
      <w:r>
        <w:rPr>
          <w:rFonts w:hint="eastAsia" w:ascii="仿宋" w:hAnsi="仿宋" w:eastAsia="仿宋" w:cs="仿宋"/>
          <w:kern w:val="0"/>
          <w:sz w:val="28"/>
          <w:szCs w:val="28"/>
        </w:rPr>
        <w:t>开户行：中国银行安庆龙山路支行</w:t>
      </w:r>
    </w:p>
    <w:p>
      <w:pPr>
        <w:ind w:firstLine="565" w:firstLineChars="202"/>
        <w:rPr>
          <w:rFonts w:ascii="仿宋" w:hAnsi="仿宋" w:eastAsia="仿宋" w:cs="仿宋"/>
          <w:kern w:val="0"/>
          <w:sz w:val="28"/>
          <w:szCs w:val="28"/>
        </w:rPr>
      </w:pPr>
      <w:r>
        <w:rPr>
          <w:rFonts w:hint="eastAsia" w:ascii="仿宋" w:hAnsi="仿宋" w:eastAsia="仿宋" w:cs="仿宋"/>
          <w:kern w:val="0"/>
          <w:sz w:val="28"/>
          <w:szCs w:val="28"/>
        </w:rPr>
        <w:t>若为自然人转账工本费必须在转账备注中写明供应商名称。若自然人转账工本费未备注供应商名称的，转账截图发至邮箱的同时，必须要附上供应商对该人的授权书（授权该人对这个项目转账工本费及获得谈判文件，加盖供应商公章）。</w:t>
      </w:r>
    </w:p>
    <w:p>
      <w:pPr>
        <w:rPr>
          <w:rFonts w:ascii="黑体" w:hAnsi="黑体" w:eastAsia="黑体" w:cs="宋体"/>
          <w:bCs/>
          <w:sz w:val="28"/>
          <w:szCs w:val="28"/>
        </w:rPr>
      </w:pPr>
      <w:r>
        <w:rPr>
          <w:rFonts w:hint="eastAsia" w:ascii="黑体" w:hAnsi="黑体" w:eastAsia="黑体" w:cs="宋体"/>
          <w:bCs/>
          <w:sz w:val="28"/>
          <w:szCs w:val="28"/>
        </w:rPr>
        <w:t>四、响应文件提交</w:t>
      </w:r>
      <w:bookmarkEnd w:id="19"/>
      <w:bookmarkEnd w:id="20"/>
      <w:bookmarkEnd w:id="21"/>
      <w:bookmarkEnd w:id="22"/>
    </w:p>
    <w:p>
      <w:pPr>
        <w:ind w:firstLine="565" w:firstLineChars="202"/>
        <w:rPr>
          <w:rFonts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none"/>
          <w:lang w:eastAsia="zh-CN"/>
        </w:rPr>
        <w:t>2023年3月2日9时30分</w:t>
      </w:r>
      <w:r>
        <w:rPr>
          <w:rFonts w:hint="eastAsia" w:ascii="仿宋" w:hAnsi="仿宋" w:eastAsia="仿宋"/>
          <w:bCs/>
          <w:sz w:val="28"/>
          <w:szCs w:val="28"/>
        </w:rPr>
        <w:t>（北京时间）</w:t>
      </w:r>
    </w:p>
    <w:p>
      <w:pPr>
        <w:ind w:firstLine="565" w:firstLineChars="202"/>
        <w:rPr>
          <w:rFonts w:ascii="仿宋" w:hAnsi="仿宋" w:eastAsia="仿宋"/>
          <w:bCs/>
          <w:sz w:val="28"/>
          <w:szCs w:val="28"/>
          <w:u w:val="single"/>
        </w:rPr>
      </w:pPr>
      <w:r>
        <w:rPr>
          <w:rFonts w:hint="eastAsia" w:ascii="仿宋" w:hAnsi="仿宋" w:eastAsia="仿宋"/>
          <w:sz w:val="28"/>
          <w:szCs w:val="28"/>
        </w:rPr>
        <w:t>地点：安庆市龙山路213号</w:t>
      </w:r>
    </w:p>
    <w:p>
      <w:pPr>
        <w:rPr>
          <w:rFonts w:ascii="黑体" w:hAnsi="黑体" w:eastAsia="黑体" w:cs="宋体"/>
          <w:bCs/>
          <w:sz w:val="28"/>
          <w:szCs w:val="28"/>
        </w:rPr>
      </w:pPr>
      <w:bookmarkStart w:id="23" w:name="_Toc28359093"/>
      <w:bookmarkStart w:id="24" w:name="_Toc35393802"/>
      <w:bookmarkStart w:id="25" w:name="_Toc35393633"/>
      <w:bookmarkStart w:id="26" w:name="_Toc28359016"/>
      <w:r>
        <w:rPr>
          <w:rFonts w:hint="eastAsia" w:ascii="黑体" w:hAnsi="黑体" w:eastAsia="黑体" w:cs="宋体"/>
          <w:bCs/>
          <w:sz w:val="28"/>
          <w:szCs w:val="28"/>
        </w:rPr>
        <w:t>五、开启</w:t>
      </w:r>
      <w:bookmarkEnd w:id="23"/>
      <w:bookmarkEnd w:id="24"/>
      <w:bookmarkEnd w:id="25"/>
      <w:bookmarkEnd w:id="26"/>
    </w:p>
    <w:p>
      <w:pPr>
        <w:ind w:firstLine="565" w:firstLineChars="202"/>
        <w:rPr>
          <w:rFonts w:hint="eastAsia" w:ascii="仿宋" w:hAnsi="仿宋" w:eastAsia="仿宋" w:cs="宋体"/>
          <w:kern w:val="0"/>
          <w:sz w:val="28"/>
          <w:szCs w:val="28"/>
        </w:rPr>
      </w:pPr>
      <w:bookmarkStart w:id="27" w:name="_Toc28359017"/>
      <w:bookmarkStart w:id="28" w:name="_Toc35393634"/>
      <w:bookmarkStart w:id="29" w:name="_Toc28359094"/>
      <w:bookmarkStart w:id="30" w:name="_Toc35393803"/>
      <w:r>
        <w:rPr>
          <w:rFonts w:hint="eastAsia" w:ascii="仿宋" w:hAnsi="仿宋" w:eastAsia="仿宋" w:cs="宋体"/>
          <w:kern w:val="0"/>
          <w:sz w:val="28"/>
          <w:szCs w:val="28"/>
        </w:rPr>
        <w:t>时间：</w:t>
      </w:r>
      <w:r>
        <w:rPr>
          <w:rFonts w:hint="eastAsia" w:ascii="仿宋" w:hAnsi="仿宋" w:eastAsia="仿宋" w:cs="宋体"/>
          <w:kern w:val="0"/>
          <w:sz w:val="28"/>
          <w:szCs w:val="28"/>
          <w:lang w:eastAsia="zh-CN"/>
        </w:rPr>
        <w:t>2023年3月2日9时30分</w:t>
      </w:r>
    </w:p>
    <w:p>
      <w:pPr>
        <w:ind w:firstLine="565" w:firstLineChars="202"/>
        <w:rPr>
          <w:rFonts w:ascii="仿宋" w:hAnsi="仿宋" w:eastAsia="仿宋" w:cs="宋体"/>
          <w:kern w:val="0"/>
          <w:sz w:val="28"/>
          <w:szCs w:val="28"/>
        </w:rPr>
      </w:pPr>
      <w:r>
        <w:rPr>
          <w:rFonts w:hint="eastAsia" w:ascii="仿宋" w:hAnsi="仿宋" w:eastAsia="仿宋" w:cs="宋体"/>
          <w:kern w:val="0"/>
          <w:sz w:val="28"/>
          <w:szCs w:val="28"/>
        </w:rPr>
        <w:t>地点：安庆市龙山路213号</w:t>
      </w:r>
    </w:p>
    <w:p>
      <w:pPr>
        <w:rPr>
          <w:rFonts w:ascii="黑体" w:hAnsi="黑体" w:eastAsia="黑体" w:cs="宋体"/>
          <w:bCs/>
          <w:sz w:val="28"/>
          <w:szCs w:val="28"/>
        </w:rPr>
      </w:pPr>
      <w:r>
        <w:rPr>
          <w:rFonts w:hint="eastAsia" w:ascii="黑体" w:hAnsi="黑体" w:eastAsia="黑体" w:cs="宋体"/>
          <w:bCs/>
          <w:sz w:val="28"/>
          <w:szCs w:val="28"/>
        </w:rPr>
        <w:t>六、公告期限</w:t>
      </w:r>
      <w:bookmarkEnd w:id="27"/>
      <w:bookmarkEnd w:id="28"/>
      <w:bookmarkEnd w:id="29"/>
      <w:bookmarkEnd w:id="30"/>
    </w:p>
    <w:p>
      <w:pPr>
        <w:ind w:firstLine="565" w:firstLineChars="202"/>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rPr>
          <w:rFonts w:ascii="黑体" w:hAnsi="黑体" w:eastAsia="黑体" w:cs="宋体"/>
          <w:bCs/>
          <w:sz w:val="28"/>
          <w:szCs w:val="28"/>
        </w:rPr>
      </w:pPr>
      <w:bookmarkStart w:id="31" w:name="_Toc35393804"/>
      <w:bookmarkStart w:id="32" w:name="_Toc35393635"/>
      <w:r>
        <w:rPr>
          <w:rFonts w:hint="eastAsia" w:ascii="黑体" w:hAnsi="黑体" w:eastAsia="黑体" w:cs="宋体"/>
          <w:bCs/>
          <w:sz w:val="28"/>
          <w:szCs w:val="28"/>
        </w:rPr>
        <w:t>七、其他补充事宜</w:t>
      </w:r>
      <w:bookmarkEnd w:id="31"/>
      <w:bookmarkEnd w:id="32"/>
    </w:p>
    <w:p>
      <w:pPr>
        <w:ind w:firstLine="565" w:firstLineChars="202"/>
        <w:rPr>
          <w:rFonts w:ascii="仿宋" w:hAnsi="仿宋" w:eastAsia="仿宋"/>
          <w:sz w:val="28"/>
          <w:szCs w:val="28"/>
        </w:rPr>
      </w:pPr>
      <w:bookmarkStart w:id="33" w:name="_Toc35393636"/>
      <w:bookmarkStart w:id="34" w:name="_Toc28359095"/>
      <w:bookmarkStart w:id="35" w:name="_Toc35393805"/>
      <w:bookmarkStart w:id="36" w:name="_Toc28359018"/>
      <w:r>
        <w:rPr>
          <w:rFonts w:ascii="仿宋" w:hAnsi="仿宋" w:eastAsia="仿宋"/>
          <w:sz w:val="28"/>
          <w:szCs w:val="28"/>
        </w:rPr>
        <w:t>1.</w:t>
      </w:r>
      <w:r>
        <w:rPr>
          <w:rFonts w:hint="eastAsia" w:ascii="仿宋" w:hAnsi="仿宋" w:eastAsia="仿宋"/>
          <w:sz w:val="28"/>
          <w:szCs w:val="28"/>
        </w:rPr>
        <w:t>供应商的联系人电话(手机)、电子邮箱等通讯方式在谈判过程中必须保持畅通，否则因上述原因造成的后果，责任自负。</w:t>
      </w:r>
    </w:p>
    <w:p>
      <w:pPr>
        <w:ind w:firstLine="565" w:firstLineChars="202"/>
        <w:rPr>
          <w:rFonts w:ascii="仿宋" w:hAnsi="仿宋" w:eastAsia="仿宋" w:cs="仿宋"/>
          <w:kern w:val="0"/>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cs="仿宋"/>
          <w:kern w:val="0"/>
          <w:sz w:val="28"/>
          <w:szCs w:val="28"/>
        </w:rPr>
        <w:t>本竞争性谈判文件的澄清、修改、补充说明等内容均通过安庆市皖宜项目咨询管理有限公司（http://wyxmzx.com/index.html）</w:t>
      </w:r>
      <w:r>
        <w:rPr>
          <w:rFonts w:hint="eastAsia" w:ascii="仿宋" w:hAnsi="仿宋" w:eastAsia="仿宋" w:cs="仿宋"/>
          <w:kern w:val="0"/>
          <w:sz w:val="28"/>
          <w:szCs w:val="28"/>
          <w:lang w:eastAsia="zh-CN"/>
        </w:rPr>
        <w:t>、</w:t>
      </w:r>
      <w:r>
        <w:rPr>
          <w:rFonts w:hint="eastAsia" w:ascii="仿宋" w:hAnsi="仿宋" w:eastAsia="仿宋" w:cs="仿宋"/>
          <w:kern w:val="0"/>
          <w:sz w:val="28"/>
          <w:szCs w:val="28"/>
          <w:highlight w:val="none"/>
          <w:lang w:eastAsia="zh-CN"/>
        </w:rPr>
        <w:t>安庆新闻网（http://www.aqnews.com.cn）</w:t>
      </w:r>
      <w:r>
        <w:rPr>
          <w:rFonts w:hint="eastAsia" w:ascii="仿宋" w:hAnsi="仿宋" w:eastAsia="仿宋" w:cs="仿宋"/>
          <w:kern w:val="0"/>
          <w:sz w:val="28"/>
          <w:szCs w:val="28"/>
        </w:rPr>
        <w:t>发布，请务必随时关注，以免影响响应文件编制，因供应商未及时关注相关信息对投标造成的不利后果由其自行承担。</w:t>
      </w:r>
    </w:p>
    <w:p>
      <w:pPr>
        <w:ind w:firstLine="565" w:firstLineChars="202"/>
        <w:rPr>
          <w:rFonts w:ascii="仿宋" w:hAnsi="仿宋" w:eastAsia="仿宋" w:cs="仿宋"/>
          <w:kern w:val="0"/>
          <w:sz w:val="28"/>
          <w:szCs w:val="28"/>
        </w:rPr>
      </w:pPr>
      <w:r>
        <w:rPr>
          <w:rFonts w:hint="eastAsia" w:ascii="仿宋" w:hAnsi="仿宋" w:eastAsia="仿宋" w:cs="仿宋"/>
          <w:kern w:val="0"/>
          <w:sz w:val="28"/>
          <w:szCs w:val="28"/>
        </w:rPr>
        <w:t>3.获取竞争性谈判文件，而放弃参加投标的供应商，请在响应文件提交截止日前以单位名义向</w:t>
      </w:r>
      <w:r>
        <w:rPr>
          <w:rFonts w:hint="eastAsia" w:ascii="仿宋" w:hAnsi="仿宋" w:eastAsia="仿宋" w:cs="仿宋"/>
          <w:kern w:val="0"/>
          <w:sz w:val="28"/>
          <w:szCs w:val="28"/>
          <w:lang w:val="en-US" w:eastAsia="zh-CN"/>
        </w:rPr>
        <w:t>3050346988</w:t>
      </w:r>
      <w:r>
        <w:rPr>
          <w:rFonts w:hint="eastAsia" w:ascii="仿宋" w:hAnsi="仿宋" w:eastAsia="仿宋" w:cs="仿宋"/>
          <w:kern w:val="0"/>
          <w:sz w:val="28"/>
          <w:szCs w:val="28"/>
        </w:rPr>
        <w:t>@qq.com邮箱发送弃标函（格式自拟）。</w:t>
      </w:r>
    </w:p>
    <w:p>
      <w:pPr>
        <w:pageBreakBefore w:val="0"/>
        <w:widowControl w:val="0"/>
        <w:kinsoku/>
        <w:wordWrap/>
        <w:overflowPunct/>
        <w:topLinePunct w:val="0"/>
        <w:autoSpaceDE/>
        <w:autoSpaceDN/>
        <w:bidi w:val="0"/>
        <w:adjustRightInd/>
        <w:snapToGrid/>
        <w:spacing w:line="360" w:lineRule="auto"/>
        <w:textAlignment w:val="auto"/>
        <w:rPr>
          <w:rFonts w:ascii="仿宋" w:hAnsi="仿宋" w:eastAsia="仿宋" w:cs="宋体"/>
          <w:bCs/>
          <w:sz w:val="28"/>
          <w:szCs w:val="28"/>
        </w:rPr>
      </w:pPr>
      <w:r>
        <w:rPr>
          <w:rFonts w:hint="eastAsia" w:ascii="黑体" w:hAnsi="黑体" w:eastAsia="黑体" w:cs="宋体"/>
          <w:bCs/>
          <w:sz w:val="28"/>
          <w:szCs w:val="28"/>
        </w:rPr>
        <w:t>八、凡对本次采购提出询问，请按</w:t>
      </w:r>
      <w:r>
        <w:rPr>
          <w:rFonts w:ascii="黑体" w:hAnsi="黑体" w:eastAsia="黑体" w:cs="宋体"/>
          <w:bCs/>
          <w:sz w:val="28"/>
          <w:szCs w:val="28"/>
        </w:rPr>
        <w:t>以下方式</w:t>
      </w:r>
      <w:r>
        <w:rPr>
          <w:rFonts w:hint="eastAsia" w:ascii="黑体" w:hAnsi="黑体" w:eastAsia="黑体" w:cs="宋体"/>
          <w:bCs/>
          <w:sz w:val="28"/>
          <w:szCs w:val="28"/>
        </w:rPr>
        <w:t>联系。</w:t>
      </w:r>
      <w:bookmarkEnd w:id="33"/>
      <w:bookmarkEnd w:id="34"/>
      <w:bookmarkEnd w:id="35"/>
      <w:bookmarkEnd w:id="36"/>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bCs/>
          <w:sz w:val="28"/>
          <w:szCs w:val="28"/>
        </w:rPr>
      </w:pPr>
      <w:r>
        <w:rPr>
          <w:rFonts w:hint="eastAsia" w:ascii="仿宋" w:hAnsi="仿宋" w:eastAsia="仿宋" w:cs="宋体"/>
          <w:bCs/>
          <w:sz w:val="28"/>
          <w:szCs w:val="28"/>
        </w:rPr>
        <w:t>1.采购人信息</w:t>
      </w:r>
    </w:p>
    <w:p>
      <w:pPr>
        <w:spacing w:line="360" w:lineRule="auto"/>
        <w:ind w:firstLine="560" w:firstLineChars="200"/>
        <w:rPr>
          <w:rFonts w:ascii="仿宋" w:hAnsi="仿宋" w:eastAsia="仿宋" w:cs="宋体"/>
          <w:bCs/>
          <w:sz w:val="28"/>
          <w:szCs w:val="28"/>
          <w:highlight w:val="none"/>
        </w:rPr>
      </w:pPr>
      <w:r>
        <w:rPr>
          <w:rFonts w:hint="eastAsia" w:ascii="仿宋" w:hAnsi="仿宋" w:eastAsia="仿宋" w:cs="宋体"/>
          <w:bCs/>
          <w:sz w:val="28"/>
          <w:szCs w:val="28"/>
          <w:highlight w:val="none"/>
        </w:rPr>
        <w:t>名    称：安庆日报社</w:t>
      </w:r>
    </w:p>
    <w:p>
      <w:pPr>
        <w:ind w:firstLine="565" w:firstLineChars="202"/>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地    址：安庆市湖心北路8</w:t>
      </w:r>
      <w:r>
        <w:rPr>
          <w:rFonts w:ascii="仿宋" w:hAnsi="仿宋" w:eastAsia="仿宋" w:cs="Times New Roman"/>
          <w:sz w:val="28"/>
          <w:szCs w:val="28"/>
          <w:highlight w:val="none"/>
        </w:rPr>
        <w:t>8</w:t>
      </w:r>
      <w:r>
        <w:rPr>
          <w:rFonts w:hint="eastAsia" w:ascii="仿宋" w:hAnsi="仿宋" w:eastAsia="仿宋" w:cs="Times New Roman"/>
          <w:sz w:val="28"/>
          <w:szCs w:val="28"/>
          <w:highlight w:val="none"/>
        </w:rPr>
        <w:t>号</w:t>
      </w:r>
    </w:p>
    <w:p>
      <w:pPr>
        <w:ind w:firstLine="565" w:firstLineChars="202"/>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联 系 人：张俊</w:t>
      </w:r>
    </w:p>
    <w:p>
      <w:pPr>
        <w:ind w:firstLine="565" w:firstLineChars="202"/>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联系方式：</w:t>
      </w:r>
      <w:r>
        <w:rPr>
          <w:rFonts w:ascii="仿宋" w:hAnsi="仿宋" w:eastAsia="仿宋" w:cs="Times New Roman"/>
          <w:sz w:val="28"/>
          <w:szCs w:val="28"/>
          <w:highlight w:val="none"/>
        </w:rPr>
        <w:t>0556</w:t>
      </w:r>
      <w:r>
        <w:rPr>
          <w:rFonts w:hint="eastAsia" w:ascii="仿宋" w:hAnsi="仿宋" w:eastAsia="仿宋" w:cs="Times New Roman"/>
          <w:sz w:val="28"/>
          <w:szCs w:val="28"/>
          <w:highlight w:val="none"/>
        </w:rPr>
        <w:t>－5</w:t>
      </w:r>
      <w:r>
        <w:rPr>
          <w:rFonts w:ascii="仿宋" w:hAnsi="仿宋" w:eastAsia="仿宋" w:cs="Times New Roman"/>
          <w:sz w:val="28"/>
          <w:szCs w:val="28"/>
          <w:highlight w:val="none"/>
        </w:rPr>
        <w:t>325945</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bCs/>
          <w:sz w:val="28"/>
          <w:szCs w:val="28"/>
        </w:rPr>
      </w:pPr>
      <w:r>
        <w:rPr>
          <w:rFonts w:hint="eastAsia" w:ascii="仿宋" w:hAnsi="仿宋" w:eastAsia="仿宋" w:cs="宋体"/>
          <w:bCs/>
          <w:sz w:val="28"/>
          <w:szCs w:val="28"/>
        </w:rPr>
        <w:t>2.采购代理机构信息</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Cs/>
          <w:sz w:val="28"/>
          <w:szCs w:val="28"/>
          <w:lang w:val="en-US"/>
        </w:rPr>
      </w:pPr>
      <w:r>
        <w:rPr>
          <w:rFonts w:hint="eastAsia" w:ascii="仿宋" w:hAnsi="仿宋" w:eastAsia="仿宋" w:cs="宋体"/>
          <w:bCs/>
          <w:sz w:val="28"/>
          <w:szCs w:val="28"/>
        </w:rPr>
        <w:t>名    称：</w:t>
      </w:r>
      <w:r>
        <w:rPr>
          <w:rFonts w:hint="eastAsia" w:ascii="仿宋" w:hAnsi="仿宋" w:eastAsia="仿宋" w:cs="宋体"/>
          <w:bCs/>
          <w:sz w:val="28"/>
          <w:szCs w:val="28"/>
          <w:lang w:val="en-US" w:eastAsia="zh-CN"/>
        </w:rPr>
        <w:t>安庆市皖宜项目咨询管理有限公司</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Cs/>
          <w:sz w:val="28"/>
          <w:szCs w:val="28"/>
          <w:lang w:val="en-US"/>
        </w:rPr>
      </w:pPr>
      <w:r>
        <w:rPr>
          <w:rFonts w:hint="eastAsia" w:ascii="仿宋" w:hAnsi="仿宋" w:eastAsia="仿宋" w:cs="宋体"/>
          <w:bCs/>
          <w:sz w:val="28"/>
          <w:szCs w:val="28"/>
        </w:rPr>
        <w:t>地　　址：</w:t>
      </w:r>
      <w:r>
        <w:rPr>
          <w:rFonts w:hint="eastAsia" w:ascii="仿宋" w:hAnsi="仿宋" w:eastAsia="仿宋" w:cs="宋体"/>
          <w:bCs/>
          <w:sz w:val="28"/>
          <w:szCs w:val="28"/>
          <w:lang w:val="en-US" w:eastAsia="zh-CN"/>
        </w:rPr>
        <w:t xml:space="preserve">安庆市龙山路213号五楼交易二部  </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Cs/>
          <w:sz w:val="28"/>
          <w:szCs w:val="28"/>
          <w:lang w:val="en-US" w:eastAsia="zh-CN"/>
        </w:rPr>
      </w:pPr>
      <w:r>
        <w:rPr>
          <w:rFonts w:hint="eastAsia" w:ascii="仿宋" w:hAnsi="仿宋" w:eastAsia="仿宋" w:cs="宋体"/>
          <w:bCs/>
          <w:sz w:val="28"/>
          <w:szCs w:val="28"/>
        </w:rPr>
        <w:t>联 系 人：</w:t>
      </w:r>
      <w:r>
        <w:rPr>
          <w:rFonts w:hint="eastAsia" w:ascii="仿宋" w:hAnsi="仿宋" w:eastAsia="仿宋" w:cs="宋体"/>
          <w:bCs/>
          <w:sz w:val="28"/>
          <w:szCs w:val="28"/>
          <w:lang w:val="en-US" w:eastAsia="zh-CN"/>
        </w:rPr>
        <w:t>戴福婧</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联系方式：</w:t>
      </w:r>
      <w:r>
        <w:rPr>
          <w:rFonts w:hint="eastAsia" w:ascii="仿宋" w:hAnsi="仿宋" w:eastAsia="仿宋"/>
          <w:sz w:val="28"/>
          <w:szCs w:val="28"/>
          <w:u w:val="none"/>
          <w:lang w:val="en-US" w:eastAsia="zh-CN"/>
        </w:rPr>
        <w:t>0556-5991153</w:t>
      </w:r>
      <w:bookmarkStart w:id="37" w:name="_Toc35393808"/>
      <w:bookmarkStart w:id="38" w:name="_Toc28359098"/>
      <w:bookmarkStart w:id="39" w:name="_Toc35393639"/>
      <w:bookmarkStart w:id="40" w:name="_Toc28359021"/>
    </w:p>
    <w:p>
      <w:pPr>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ascii="仿宋" w:hAnsi="仿宋" w:eastAsia="仿宋" w:cs="宋体"/>
          <w:bCs/>
          <w:sz w:val="28"/>
          <w:szCs w:val="28"/>
        </w:rPr>
      </w:pPr>
      <w:r>
        <w:rPr>
          <w:rFonts w:hint="eastAsia" w:ascii="仿宋" w:hAnsi="仿宋" w:eastAsia="仿宋" w:cs="宋体"/>
          <w:bCs/>
          <w:sz w:val="28"/>
          <w:szCs w:val="28"/>
        </w:rPr>
        <w:t>项目联系</w:t>
      </w:r>
      <w:r>
        <w:rPr>
          <w:rFonts w:ascii="仿宋" w:hAnsi="仿宋" w:eastAsia="仿宋" w:cs="宋体"/>
          <w:bCs/>
          <w:sz w:val="28"/>
          <w:szCs w:val="28"/>
        </w:rPr>
        <w:t>方式</w:t>
      </w:r>
      <w:bookmarkEnd w:id="37"/>
      <w:bookmarkEnd w:id="38"/>
      <w:bookmarkEnd w:id="39"/>
      <w:bookmarkEnd w:id="40"/>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sz w:val="28"/>
          <w:szCs w:val="28"/>
          <w:u w:val="single"/>
          <w:lang w:val="en-US" w:eastAsia="zh-CN"/>
        </w:rPr>
      </w:pPr>
      <w:r>
        <w:rPr>
          <w:rFonts w:hint="eastAsia" w:ascii="仿宋" w:hAnsi="仿宋" w:eastAsia="仿宋" w:cstheme="minorBidi"/>
          <w:sz w:val="28"/>
          <w:szCs w:val="28"/>
        </w:rPr>
        <w:t>项目联系人：</w:t>
      </w:r>
      <w:r>
        <w:rPr>
          <w:rFonts w:hint="eastAsia" w:ascii="仿宋" w:hAnsi="仿宋" w:eastAsia="仿宋" w:cstheme="minorBidi"/>
          <w:sz w:val="28"/>
          <w:szCs w:val="28"/>
          <w:lang w:val="en-US" w:eastAsia="zh-CN"/>
        </w:rPr>
        <w:t xml:space="preserve"> 张俊</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电　　 话：</w:t>
      </w:r>
      <w:r>
        <w:rPr>
          <w:rFonts w:hint="eastAsia" w:ascii="仿宋" w:hAnsi="仿宋" w:eastAsia="仿宋"/>
          <w:sz w:val="28"/>
          <w:szCs w:val="28"/>
          <w:lang w:val="en-US" w:eastAsia="zh-CN"/>
        </w:rPr>
        <w:t xml:space="preserve"> 0556－5325945 </w:t>
      </w:r>
    </w:p>
    <w:p>
      <w:pPr>
        <w:pStyle w:val="9"/>
        <w:rPr>
          <w:rFonts w:hint="eastAsia" w:ascii="仿宋" w:hAnsi="仿宋" w:eastAsia="仿宋"/>
          <w:sz w:val="28"/>
          <w:szCs w:val="28"/>
          <w:lang w:val="en-US" w:eastAsia="zh-CN"/>
        </w:rPr>
      </w:pPr>
    </w:p>
    <w:p>
      <w:pPr>
        <w:pStyle w:val="9"/>
        <w:rPr>
          <w:rFonts w:hint="default" w:ascii="仿宋" w:hAnsi="仿宋" w:eastAsia="仿宋"/>
          <w:sz w:val="28"/>
          <w:szCs w:val="28"/>
          <w:lang w:val="en-US" w:eastAsia="zh-CN"/>
        </w:rPr>
      </w:pPr>
    </w:p>
    <w:p>
      <w:pPr>
        <w:pStyle w:val="3"/>
        <w:jc w:val="left"/>
        <w:rPr>
          <w:rFonts w:ascii="宋体" w:hAnsi="宋体" w:cs="宋体"/>
          <w:sz w:val="24"/>
          <w:szCs w:val="36"/>
        </w:rPr>
      </w:pPr>
      <w:r>
        <w:rPr>
          <w:rFonts w:hint="eastAsia" w:ascii="仿宋_GB2312" w:hAnsi="宋体" w:eastAsia="仿宋_GB2312" w:cs="宋体"/>
          <w:kern w:val="0"/>
          <w:sz w:val="28"/>
          <w:szCs w:val="28"/>
        </w:rPr>
        <w:t>附件：</w:t>
      </w:r>
    </w:p>
    <w:p>
      <w:pPr>
        <w:pStyle w:val="3"/>
        <w:rPr>
          <w:rFonts w:ascii="宋体" w:hAnsi="宋体" w:cs="宋体"/>
        </w:rPr>
      </w:pPr>
      <w:r>
        <w:rPr>
          <w:rFonts w:hint="eastAsia" w:ascii="宋体" w:hAnsi="宋体" w:cs="宋体"/>
        </w:rPr>
        <w:t>获取竞争性谈判文件的函</w:t>
      </w:r>
    </w:p>
    <w:p>
      <w:pPr>
        <w:rPr>
          <w:rFonts w:ascii="仿宋" w:hAnsi="仿宋" w:eastAsia="仿宋" w:cs="仿宋"/>
          <w:sz w:val="32"/>
          <w:szCs w:val="32"/>
        </w:rPr>
      </w:pPr>
      <w:r>
        <w:rPr>
          <w:rFonts w:hint="eastAsia" w:ascii="仿宋" w:hAnsi="仿宋" w:eastAsia="仿宋" w:cs="仿宋"/>
          <w:sz w:val="32"/>
          <w:szCs w:val="32"/>
        </w:rPr>
        <w:t>安庆市皖宜项目咨询管理有限公司：</w:t>
      </w:r>
    </w:p>
    <w:p>
      <w:pPr>
        <w:ind w:firstLine="640"/>
        <w:rPr>
          <w:rFonts w:ascii="仿宋" w:hAnsi="仿宋" w:eastAsia="仿宋" w:cs="仿宋"/>
          <w:sz w:val="32"/>
          <w:szCs w:val="32"/>
        </w:rPr>
      </w:pPr>
      <w:r>
        <w:rPr>
          <w:rFonts w:hint="eastAsia" w:ascii="仿宋" w:hAnsi="仿宋" w:eastAsia="仿宋" w:cs="仿宋"/>
          <w:sz w:val="32"/>
          <w:szCs w:val="32"/>
        </w:rPr>
        <w:t>我单位要求获取</w:t>
      </w:r>
      <w:r>
        <w:rPr>
          <w:rFonts w:hint="eastAsia" w:ascii="仿宋" w:hAnsi="仿宋" w:eastAsia="仿宋" w:cs="仿宋"/>
          <w:sz w:val="32"/>
          <w:szCs w:val="32"/>
          <w:lang w:eastAsia="zh-CN"/>
        </w:rPr>
        <w:t>安庆市新闻传媒中心网络安全等级保护测评服务项目（三次）</w:t>
      </w:r>
      <w:r>
        <w:rPr>
          <w:rFonts w:hint="eastAsia" w:ascii="仿宋" w:hAnsi="仿宋" w:eastAsia="仿宋" w:cs="仿宋"/>
          <w:sz w:val="32"/>
          <w:szCs w:val="32"/>
        </w:rPr>
        <w:t>的竞争性谈判文件电子版，该电子版仅做本次投标使用，并承诺不做外用。</w:t>
      </w:r>
    </w:p>
    <w:p>
      <w:pPr>
        <w:ind w:firstLine="640"/>
        <w:rPr>
          <w:rFonts w:ascii="仿宋" w:hAnsi="仿宋" w:eastAsia="仿宋" w:cs="仿宋"/>
          <w:sz w:val="32"/>
          <w:szCs w:val="32"/>
        </w:rPr>
      </w:pPr>
      <w:r>
        <w:rPr>
          <w:rFonts w:hint="eastAsia" w:ascii="仿宋" w:hAnsi="仿宋" w:eastAsia="仿宋" w:cs="仿宋"/>
          <w:sz w:val="32"/>
          <w:szCs w:val="32"/>
        </w:rPr>
        <w:t>请将</w:t>
      </w:r>
      <w:r>
        <w:rPr>
          <w:rFonts w:hint="eastAsia" w:ascii="仿宋" w:hAnsi="仿宋" w:eastAsia="仿宋" w:cs="仿宋"/>
          <w:sz w:val="32"/>
          <w:szCs w:val="32"/>
          <w:lang w:eastAsia="zh-CN"/>
        </w:rPr>
        <w:t>“安庆市新闻传媒中心网络安全等级保护测评服务项目（三次）”</w:t>
      </w:r>
      <w:r>
        <w:rPr>
          <w:rFonts w:hint="eastAsia" w:ascii="仿宋" w:hAnsi="仿宋" w:eastAsia="仿宋" w:cs="仿宋"/>
          <w:sz w:val="32"/>
          <w:szCs w:val="32"/>
        </w:rPr>
        <w:t>竞争性谈判文件发至以下邮箱：</w:t>
      </w:r>
    </w:p>
    <w:p>
      <w:pPr>
        <w:rPr>
          <w:rFonts w:ascii="仿宋" w:hAnsi="仿宋" w:eastAsia="仿宋" w:cs="仿宋"/>
          <w:sz w:val="32"/>
          <w:szCs w:val="32"/>
          <w:u w:val="single"/>
        </w:rPr>
      </w:pPr>
      <w:r>
        <w:rPr>
          <w:rFonts w:hint="eastAsia" w:ascii="仿宋" w:hAnsi="仿宋" w:eastAsia="仿宋" w:cs="仿宋"/>
          <w:sz w:val="32"/>
          <w:szCs w:val="32"/>
          <w:u w:val="single"/>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联系人：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联系方式：         </w:t>
      </w:r>
    </w:p>
    <w:p>
      <w:pPr>
        <w:ind w:firstLine="640"/>
        <w:rPr>
          <w:rFonts w:ascii="仿宋" w:hAnsi="仿宋" w:eastAsia="仿宋" w:cs="仿宋"/>
          <w:sz w:val="32"/>
          <w:szCs w:val="32"/>
        </w:rPr>
      </w:pPr>
    </w:p>
    <w:p>
      <w:pPr>
        <w:ind w:firstLine="640"/>
        <w:rPr>
          <w:rFonts w:ascii="仿宋" w:hAnsi="仿宋" w:eastAsia="仿宋" w:cs="仿宋"/>
          <w:sz w:val="32"/>
          <w:szCs w:val="32"/>
        </w:rPr>
      </w:pPr>
      <w:r>
        <w:rPr>
          <w:rFonts w:hint="eastAsia" w:ascii="仿宋" w:hAnsi="仿宋" w:eastAsia="仿宋" w:cs="仿宋"/>
          <w:sz w:val="32"/>
          <w:szCs w:val="32"/>
        </w:rPr>
        <w:t xml:space="preserve">                                  XXX（单位名称）</w:t>
      </w:r>
    </w:p>
    <w:p>
      <w:pPr>
        <w:ind w:firstLine="640"/>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2023</w:t>
      </w:r>
      <w:r>
        <w:rPr>
          <w:rFonts w:hint="eastAsia" w:ascii="仿宋" w:hAnsi="仿宋" w:eastAsia="仿宋" w:cs="仿宋"/>
          <w:sz w:val="32"/>
          <w:szCs w:val="32"/>
        </w:rPr>
        <w:t>年  月  日</w:t>
      </w:r>
    </w:p>
    <w:p>
      <w:pPr>
        <w:ind w:firstLine="640"/>
        <w:rPr>
          <w:rFonts w:ascii="仿宋" w:hAnsi="仿宋" w:eastAsia="仿宋" w:cs="仿宋"/>
          <w:sz w:val="32"/>
          <w:szCs w:val="32"/>
        </w:rPr>
      </w:pPr>
    </w:p>
    <w:p>
      <w:pPr>
        <w:widowControl/>
        <w:jc w:val="left"/>
      </w:pPr>
      <w:r>
        <w:br w:type="page"/>
      </w:r>
    </w:p>
    <w:p>
      <w:pPr>
        <w:pStyle w:val="3"/>
        <w:rPr>
          <w:rFonts w:ascii="宋体" w:hAnsi="宋体" w:cs="宋体"/>
          <w:color w:val="000000"/>
        </w:rPr>
      </w:pPr>
      <w:bookmarkStart w:id="41" w:name="_Toc9734"/>
      <w:bookmarkStart w:id="42" w:name="_Toc5725"/>
      <w:bookmarkStart w:id="43" w:name="_Toc17554"/>
      <w:r>
        <w:rPr>
          <w:rFonts w:hint="eastAsia" w:ascii="宋体" w:hAnsi="宋体" w:cs="宋体"/>
          <w:color w:val="000000"/>
        </w:rPr>
        <w:t>第二章   谈判响应人须知</w:t>
      </w:r>
      <w:bookmarkEnd w:id="41"/>
      <w:bookmarkEnd w:id="42"/>
      <w:bookmarkEnd w:id="43"/>
    </w:p>
    <w:p>
      <w:pPr>
        <w:pStyle w:val="46"/>
        <w:rPr>
          <w:rFonts w:ascii="宋体" w:hAnsi="宋体"/>
          <w:color w:val="000000"/>
        </w:rPr>
      </w:pPr>
      <w:bookmarkStart w:id="44" w:name="_Toc16301"/>
      <w:bookmarkStart w:id="45" w:name="_Toc27607"/>
      <w:r>
        <w:rPr>
          <w:rFonts w:hint="eastAsia" w:ascii="宋体" w:hAnsi="宋体"/>
          <w:color w:val="000000"/>
        </w:rPr>
        <w:t>第一节  谈判响应人须知前附表</w:t>
      </w:r>
      <w:bookmarkEnd w:id="44"/>
      <w:bookmarkEnd w:id="45"/>
    </w:p>
    <w:tbl>
      <w:tblPr>
        <w:tblStyle w:val="23"/>
        <w:tblW w:w="919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2085"/>
        <w:gridCol w:w="64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ind w:right="-358"/>
              <w:rPr>
                <w:rFonts w:ascii="宋体" w:hAnsi="宋体" w:cs="宋体"/>
                <w:color w:val="000000"/>
                <w:szCs w:val="21"/>
                <w:highlight w:val="none"/>
              </w:rPr>
            </w:pPr>
            <w:r>
              <w:rPr>
                <w:rFonts w:hint="eastAsia" w:ascii="宋体" w:hAnsi="宋体" w:cs="宋体"/>
                <w:color w:val="000000"/>
                <w:szCs w:val="21"/>
                <w:highlight w:val="none"/>
              </w:rPr>
              <w:t>序号</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内容</w:t>
            </w:r>
          </w:p>
        </w:tc>
        <w:tc>
          <w:tcPr>
            <w:tcW w:w="6444"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项目编号</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eastAsia="zh-CN"/>
              </w:rPr>
              <w:t>CG-AQ-W2022-18</w:t>
            </w:r>
            <w:r>
              <w:rPr>
                <w:rFonts w:hint="eastAsia" w:ascii="宋体" w:hAnsi="宋体" w:cs="宋体"/>
                <w:color w:val="000000"/>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项目名称</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eastAsia="zh-CN"/>
              </w:rPr>
              <w:t>安庆市新闻传媒中心网络安全等级保护测评服务项目（三次）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采购人</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eastAsia="zh-CN"/>
              </w:rPr>
              <w:t>安庆日报社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4</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采购代理机构</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kern w:val="0"/>
                <w:szCs w:val="21"/>
                <w:highlight w:val="none"/>
              </w:rPr>
            </w:pPr>
            <w:r>
              <w:rPr>
                <w:rFonts w:hint="eastAsia" w:ascii="宋体" w:hAnsi="宋体" w:cs="宋体"/>
                <w:kern w:val="0"/>
                <w:szCs w:val="21"/>
                <w:highlight w:val="none"/>
              </w:rPr>
              <w:t>安庆市皖宜项目咨询</w:t>
            </w:r>
            <w:r>
              <w:rPr>
                <w:rFonts w:hint="eastAsia" w:ascii="宋体" w:hAnsi="宋体" w:cs="宋体"/>
                <w:color w:val="000000"/>
                <w:szCs w:val="21"/>
                <w:highlight w:val="none"/>
              </w:rPr>
              <w:t>管理</w:t>
            </w:r>
            <w:r>
              <w:rPr>
                <w:rFonts w:hint="eastAsia" w:ascii="宋体" w:hAnsi="宋体" w:cs="宋体"/>
                <w:kern w:val="0"/>
                <w:szCs w:val="21"/>
                <w:highlight w:val="none"/>
              </w:rPr>
              <w:t>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5</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采购方式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6</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包别划分</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szCs w:val="21"/>
                <w:highlight w:val="none"/>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7</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资金来源</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highlight w:val="none"/>
                <w:lang w:eastAsia="zh-CN"/>
              </w:rPr>
            </w:pPr>
            <w:r>
              <w:rPr>
                <w:rFonts w:hint="eastAsia" w:ascii="宋体" w:hAnsi="宋体" w:cs="宋体"/>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8</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谈判最高限价</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cs="宋体"/>
                <w:color w:val="000000"/>
                <w:szCs w:val="21"/>
                <w:highlight w:val="none"/>
                <w:lang w:val="en-US"/>
              </w:rPr>
            </w:pPr>
            <w:r>
              <w:rPr>
                <w:rFonts w:hint="eastAsia" w:ascii="宋体" w:hAnsi="宋体" w:cs="宋体"/>
                <w:color w:val="000000"/>
                <w:szCs w:val="21"/>
                <w:highlight w:val="none"/>
                <w:lang w:val="en-US" w:eastAsia="zh-CN"/>
              </w:rPr>
              <w:t>人民币壹拾陆万元整（￥160000 .00元）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9</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项目地点</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安庆市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10</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eastAsia="zh-CN"/>
              </w:rPr>
              <w:t>合同履行期限</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eastAsia="zh-CN"/>
              </w:rPr>
              <w:t>等保测评服务合同签订之后30日历天内完成等保测评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11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资格要求</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详见公告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12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资格审查方式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13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谈判响应有效期</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ind w:left="-2" w:leftChars="-1" w:firstLine="2"/>
              <w:rPr>
                <w:rFonts w:ascii="宋体" w:hAnsi="宋体" w:cs="宋体"/>
                <w:color w:val="000000"/>
                <w:szCs w:val="21"/>
                <w:highlight w:val="none"/>
              </w:rPr>
            </w:pPr>
            <w:r>
              <w:rPr>
                <w:rFonts w:hint="eastAsia" w:ascii="宋体" w:hAnsi="宋体" w:cs="宋体"/>
                <w:color w:val="000000"/>
                <w:szCs w:val="21"/>
                <w:highlight w:val="none"/>
              </w:rPr>
              <w:t>90日历天（从提交谈判响应文件截止时间算起）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14</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谈判响应保证金</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本项目免收。</w:t>
            </w:r>
            <w:r>
              <w:rPr>
                <w:rFonts w:ascii="宋体" w:hAnsi="宋体" w:cs="宋体"/>
                <w:color w:val="000000"/>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15</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提交响应文件</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1、提交响应文件截止时间：</w:t>
            </w:r>
            <w:r>
              <w:rPr>
                <w:rFonts w:hint="eastAsia" w:ascii="宋体" w:hAnsi="宋体" w:cs="宋体"/>
                <w:color w:val="000000"/>
                <w:szCs w:val="21"/>
                <w:highlight w:val="none"/>
                <w:lang w:val="en-US" w:eastAsia="zh-CN"/>
              </w:rPr>
              <w:t>2023年3月2日9时30分</w:t>
            </w:r>
          </w:p>
          <w:p>
            <w:pPr>
              <w:spacing w:line="420" w:lineRule="exac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2、一份正本，二份副本，装在同一密封袋内，密封提交。</w:t>
            </w:r>
          </w:p>
          <w:p>
            <w:pPr>
              <w:spacing w:line="420" w:lineRule="exac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3、密封袋上应加盖响应人公章。</w:t>
            </w:r>
          </w:p>
          <w:p>
            <w:pPr>
              <w:spacing w:line="42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4、响应文件需装订并编码。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16</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媒介发布</w:t>
            </w:r>
          </w:p>
        </w:tc>
        <w:tc>
          <w:tcPr>
            <w:tcW w:w="6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cs="宋体"/>
                <w:color w:val="000000"/>
                <w:szCs w:val="21"/>
                <w:highlight w:val="none"/>
              </w:rPr>
            </w:pPr>
            <w:r>
              <w:rPr>
                <w:rFonts w:hint="eastAsia" w:ascii="宋体" w:hAnsi="宋体" w:cs="宋体"/>
                <w:szCs w:val="21"/>
                <w:highlight w:val="none"/>
              </w:rPr>
              <w:t>在安庆市皖宜项目咨询管理有限公司（http://wyxmzx.com/index.html）</w:t>
            </w:r>
            <w:r>
              <w:rPr>
                <w:rFonts w:hint="eastAsia" w:ascii="宋体" w:hAnsi="宋体" w:cs="宋体"/>
                <w:szCs w:val="21"/>
                <w:highlight w:val="none"/>
                <w:lang w:eastAsia="zh-CN"/>
              </w:rPr>
              <w:t>、安庆新闻网（http://www.aqnews.com.cn）</w:t>
            </w:r>
            <w:r>
              <w:rPr>
                <w:rFonts w:hint="eastAsia" w:ascii="宋体" w:hAnsi="宋体" w:cs="宋体"/>
                <w:color w:val="000000"/>
                <w:szCs w:val="21"/>
                <w:highlight w:val="none"/>
              </w:rPr>
              <w:t>上</w:t>
            </w:r>
            <w:r>
              <w:rPr>
                <w:rFonts w:hint="eastAsia" w:ascii="宋体" w:hAnsi="宋体" w:cs="宋体"/>
                <w:szCs w:val="21"/>
                <w:highlight w:val="none"/>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17</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谈判时间和地点</w:t>
            </w:r>
          </w:p>
        </w:tc>
        <w:tc>
          <w:tcPr>
            <w:tcW w:w="64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时间:</w:t>
            </w:r>
            <w:r>
              <w:rPr>
                <w:rFonts w:hint="eastAsia" w:ascii="宋体" w:hAnsi="宋体" w:cs="宋体"/>
                <w:szCs w:val="21"/>
                <w:highlight w:val="none"/>
                <w:u w:val="single"/>
                <w:lang w:eastAsia="zh-CN"/>
              </w:rPr>
              <w:t>2023年3月2日9时30分</w:t>
            </w:r>
          </w:p>
          <w:p>
            <w:pPr>
              <w:spacing w:line="360" w:lineRule="auto"/>
              <w:rPr>
                <w:rFonts w:ascii="宋体" w:hAnsi="宋体" w:cs="宋体"/>
                <w:szCs w:val="21"/>
                <w:highlight w:val="none"/>
              </w:rPr>
            </w:pPr>
            <w:r>
              <w:rPr>
                <w:rFonts w:hint="eastAsia" w:ascii="宋体" w:hAnsi="宋体" w:cs="宋体"/>
                <w:szCs w:val="21"/>
                <w:highlight w:val="none"/>
              </w:rPr>
              <w:t>地点: 安庆市公共资源交易中心</w:t>
            </w:r>
          </w:p>
          <w:p>
            <w:pPr>
              <w:spacing w:line="420" w:lineRule="exact"/>
              <w:rPr>
                <w:rFonts w:ascii="宋体" w:hAnsi="宋体" w:cs="宋体"/>
                <w:color w:val="000000"/>
                <w:szCs w:val="21"/>
                <w:highlight w:val="none"/>
              </w:rPr>
            </w:pPr>
            <w:r>
              <w:rPr>
                <w:rFonts w:hint="eastAsia" w:ascii="宋体" w:hAnsi="宋体" w:cs="宋体"/>
                <w:szCs w:val="21"/>
                <w:highlight w:val="none"/>
              </w:rPr>
              <w:t>(具体开标地点见当天一楼大厅电子显示屏)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18</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评审方法</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b/>
                <w:color w:val="000000"/>
                <w:highlight w:val="none"/>
              </w:rPr>
              <w:t>最低评</w:t>
            </w:r>
            <w:r>
              <w:rPr>
                <w:rFonts w:hint="eastAsia" w:ascii="宋体" w:hAnsi="宋体" w:cs="宋体"/>
                <w:b/>
                <w:color w:val="000000"/>
                <w:highlight w:val="none"/>
                <w:lang w:val="en-US" w:eastAsia="zh-CN"/>
              </w:rPr>
              <w:t>标价</w:t>
            </w:r>
            <w:r>
              <w:rPr>
                <w:rFonts w:hint="eastAsia" w:ascii="宋体" w:hAnsi="宋体" w:cs="宋体"/>
                <w:b/>
                <w:color w:val="000000"/>
                <w:highlight w:val="none"/>
              </w:rPr>
              <w:t>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19</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履约保证金</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highlight w:val="none"/>
              </w:rPr>
            </w:pPr>
            <w:r>
              <w:rPr>
                <w:rFonts w:hint="eastAsia"/>
                <w:highlight w:val="none"/>
              </w:rPr>
              <w:t>履约保证金金额：成交价的2.5 %</w:t>
            </w:r>
          </w:p>
          <w:p>
            <w:pPr>
              <w:spacing w:line="420" w:lineRule="exact"/>
              <w:rPr>
                <w:highlight w:val="none"/>
              </w:rPr>
            </w:pPr>
            <w:r>
              <w:rPr>
                <w:rFonts w:hint="eastAsia"/>
                <w:highlight w:val="none"/>
              </w:rPr>
              <w:t>履约保证金的形式：支票、汇票、本票、银行保函等非现金的形式。（如为银行保函，出具履约担保的银行必须为中国银行、中国工商银行、中国农业银行、中国建设银行、中国邮政储蓄银行、交通银行或谈判响应人基本账户开户行开具的不可撤销的银行保函）。</w:t>
            </w:r>
          </w:p>
          <w:p>
            <w:pPr>
              <w:spacing w:line="420" w:lineRule="exact"/>
              <w:rPr>
                <w:rFonts w:hint="eastAsia"/>
                <w:highlight w:val="none"/>
              </w:rPr>
            </w:pPr>
            <w:r>
              <w:rPr>
                <w:rFonts w:hint="eastAsia"/>
                <w:highlight w:val="none"/>
              </w:rPr>
              <w:t>履约保证金的提交：成交人在合同签订前按照竞争性谈判文件要求提交给采购人。</w:t>
            </w:r>
          </w:p>
          <w:p>
            <w:pPr>
              <w:spacing w:line="420" w:lineRule="exact"/>
              <w:rPr>
                <w:highlight w:val="none"/>
              </w:rPr>
            </w:pPr>
            <w:r>
              <w:rPr>
                <w:rFonts w:hint="eastAsia"/>
                <w:highlight w:val="none"/>
                <w:lang w:val="en-US" w:eastAsia="zh-CN"/>
              </w:rPr>
              <w:t>履约保证金的退还：一年后无质量问题一次性退还（不计息）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20</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服务费(元)</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lang w:val="en-US" w:eastAsia="zh-CN"/>
              </w:rPr>
              <w:t>按照竞争性谈判文件规定收取，由成交人支付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21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付款方式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Cs w:val="21"/>
                <w:highlight w:val="none"/>
              </w:rPr>
            </w:pPr>
            <w:r>
              <w:rPr>
                <w:rFonts w:hint="eastAsia" w:ascii="宋体" w:hAnsi="宋体" w:cs="宋体"/>
                <w:color w:val="000000"/>
                <w:szCs w:val="21"/>
                <w:highlight w:val="none"/>
                <w:lang w:val="en-US" w:eastAsia="zh-CN"/>
              </w:rPr>
              <w:t>验收合格后一次性付清。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22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质疑函递交方式、接收部门、联系电话和通讯地址</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递交方式：书面或电子形式</w:t>
            </w:r>
          </w:p>
          <w:p>
            <w:pPr>
              <w:spacing w:line="420" w:lineRule="exact"/>
              <w:rPr>
                <w:rFonts w:ascii="宋体" w:hAnsi="宋体" w:cs="宋体"/>
                <w:color w:val="000000"/>
                <w:szCs w:val="21"/>
                <w:highlight w:val="none"/>
              </w:rPr>
            </w:pPr>
            <w:r>
              <w:rPr>
                <w:rFonts w:hint="eastAsia" w:ascii="宋体" w:hAnsi="宋体" w:cs="宋体"/>
                <w:color w:val="000000"/>
                <w:szCs w:val="21"/>
                <w:highlight w:val="none"/>
              </w:rPr>
              <w:t>接收部门：交易二部</w:t>
            </w:r>
          </w:p>
          <w:p>
            <w:pPr>
              <w:spacing w:line="420" w:lineRule="exact"/>
              <w:rPr>
                <w:rFonts w:ascii="宋体" w:hAnsi="宋体" w:cs="宋体"/>
                <w:color w:val="000000"/>
                <w:szCs w:val="21"/>
                <w:highlight w:val="none"/>
              </w:rPr>
            </w:pPr>
            <w:r>
              <w:rPr>
                <w:rFonts w:hint="eastAsia" w:ascii="宋体" w:hAnsi="宋体" w:cs="宋体"/>
                <w:color w:val="000000"/>
                <w:szCs w:val="21"/>
                <w:highlight w:val="none"/>
              </w:rPr>
              <w:t>联系电话：0556-5991152</w:t>
            </w:r>
          </w:p>
          <w:p>
            <w:pPr>
              <w:spacing w:line="420" w:lineRule="exact"/>
              <w:rPr>
                <w:rFonts w:ascii="宋体" w:hAnsi="宋体" w:cs="宋体"/>
                <w:color w:val="000000"/>
                <w:szCs w:val="21"/>
                <w:highlight w:val="none"/>
              </w:rPr>
            </w:pPr>
            <w:r>
              <w:rPr>
                <w:rFonts w:hint="eastAsia" w:ascii="宋体" w:hAnsi="宋体" w:cs="宋体"/>
                <w:color w:val="000000"/>
                <w:szCs w:val="21"/>
                <w:highlight w:val="none"/>
              </w:rPr>
              <w:t>通讯地址：安庆市龙山路21</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号五楼交易二部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23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备   注</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本竞争性谈判文件的解释权归采购单位</w:t>
            </w:r>
            <w:r>
              <w:rPr>
                <w:rFonts w:hint="eastAsia" w:ascii="宋体" w:hAnsi="宋体" w:cs="宋体"/>
                <w:color w:val="000000"/>
                <w:szCs w:val="21"/>
                <w:highlight w:val="none"/>
                <w:lang w:eastAsia="zh-CN"/>
              </w:rPr>
              <w:t>。</w:t>
            </w:r>
          </w:p>
        </w:tc>
      </w:tr>
    </w:tbl>
    <w:p>
      <w:pPr>
        <w:pStyle w:val="46"/>
        <w:jc w:val="both"/>
        <w:rPr>
          <w:rFonts w:ascii="宋体" w:hAnsi="宋体"/>
          <w:color w:val="000000"/>
        </w:rPr>
      </w:pPr>
      <w:bookmarkStart w:id="46" w:name="_Toc14999"/>
      <w:bookmarkStart w:id="47" w:name="_Toc12932"/>
    </w:p>
    <w:p>
      <w:pPr>
        <w:pStyle w:val="46"/>
        <w:ind w:firstLine="2711" w:firstLineChars="900"/>
        <w:jc w:val="both"/>
        <w:rPr>
          <w:rFonts w:ascii="宋体" w:hAnsi="宋体"/>
          <w:color w:val="000000"/>
        </w:rPr>
      </w:pPr>
      <w:r>
        <w:rPr>
          <w:rFonts w:hint="eastAsia" w:ascii="宋体" w:hAnsi="宋体"/>
          <w:color w:val="000000"/>
        </w:rPr>
        <w:t>第二节  谈判响应人须知</w:t>
      </w:r>
      <w:bookmarkEnd w:id="46"/>
      <w:bookmarkEnd w:id="47"/>
    </w:p>
    <w:p>
      <w:pPr>
        <w:pStyle w:val="6"/>
        <w:ind w:firstLine="472" w:firstLineChars="196"/>
        <w:jc w:val="both"/>
        <w:rPr>
          <w:rFonts w:hAnsi="宋体" w:cs="宋体"/>
          <w:color w:val="000000"/>
        </w:rPr>
      </w:pPr>
      <w:bookmarkStart w:id="48" w:name="_Toc7034"/>
      <w:bookmarkStart w:id="49" w:name="_Toc27892"/>
      <w:r>
        <w:rPr>
          <w:rFonts w:hint="eastAsia" w:hAnsi="宋体" w:cs="宋体"/>
          <w:color w:val="000000"/>
        </w:rPr>
        <w:t>一、总则</w:t>
      </w:r>
      <w:bookmarkEnd w:id="48"/>
      <w:bookmarkEnd w:id="49"/>
    </w:p>
    <w:p>
      <w:pPr>
        <w:spacing w:line="360" w:lineRule="auto"/>
        <w:ind w:firstLine="422" w:firstLineChars="200"/>
        <w:rPr>
          <w:rFonts w:ascii="宋体" w:hAnsi="宋体" w:cs="宋体"/>
          <w:color w:val="000000"/>
          <w:szCs w:val="21"/>
        </w:rPr>
      </w:pPr>
      <w:r>
        <w:rPr>
          <w:rFonts w:hint="eastAsia" w:ascii="宋体" w:hAnsi="宋体" w:cs="宋体"/>
          <w:b/>
          <w:color w:val="000000"/>
          <w:szCs w:val="21"/>
        </w:rPr>
        <w:t>1、</w:t>
      </w:r>
      <w:r>
        <w:rPr>
          <w:rFonts w:hint="eastAsia" w:ascii="宋体" w:hAnsi="宋体" w:cs="宋体"/>
          <w:color w:val="000000"/>
          <w:szCs w:val="21"/>
        </w:rPr>
        <w:t>本竞争性谈判文件参照《中华人民共和国政府采购法》（以下简称“《政府采购法》”）和《中华人民共和国政府采购法实施条例》等有关法律、法规、规章制定。</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2、定义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2.1、采购单位是指采购人和采购代理机构。</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2.2、谈判响应人是指对“谈判响应人须知前附表”序号2所指的项目表现出兴趣，按照</w:t>
      </w:r>
      <w:r>
        <w:rPr>
          <w:rFonts w:hint="eastAsia" w:ascii="宋体" w:hAnsi="宋体" w:cs="宋体"/>
          <w:color w:val="000000"/>
        </w:rPr>
        <w:t>约定</w:t>
      </w:r>
      <w:r>
        <w:rPr>
          <w:rFonts w:hint="eastAsia" w:ascii="宋体" w:hAnsi="宋体" w:cs="宋体"/>
          <w:color w:val="000000"/>
          <w:szCs w:val="21"/>
        </w:rPr>
        <w:t>的程序，从采购单位获取了竞争性谈判文件，并实际参与了该项目谈判活动的供应商。</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3、谈判响应人资格要求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3.1、参与本项目的谈判响应人必须满足的要求：详见谈判响应人须知前附表。</w:t>
      </w:r>
    </w:p>
    <w:p>
      <w:pPr>
        <w:spacing w:line="500" w:lineRule="exact"/>
        <w:ind w:firstLine="420" w:firstLineChars="200"/>
        <w:rPr>
          <w:rFonts w:ascii="宋体" w:hAnsi="宋体" w:cs="宋体"/>
          <w:color w:val="000000"/>
          <w:szCs w:val="21"/>
        </w:rPr>
      </w:pPr>
      <w:r>
        <w:rPr>
          <w:rFonts w:hint="eastAsia" w:ascii="宋体" w:hAnsi="宋体" w:cs="宋体"/>
          <w:color w:val="000000"/>
          <w:szCs w:val="21"/>
        </w:rPr>
        <w:t>3.2、谈判响应人之间如果存在下列情形之一的，不得同时参加同一包别或者不分包别的同一项目谈判响应：</w:t>
      </w:r>
    </w:p>
    <w:p>
      <w:pPr>
        <w:spacing w:line="500" w:lineRule="exact"/>
        <w:ind w:firstLine="420" w:firstLineChars="200"/>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rPr>
        <w:t>单位负责人为同一人或者存在直接控股、管理关系的不同供应商</w:t>
      </w:r>
      <w:r>
        <w:rPr>
          <w:rFonts w:hint="eastAsia" w:ascii="宋体" w:hAnsi="宋体" w:cs="宋体"/>
          <w:color w:val="000000"/>
          <w:szCs w:val="21"/>
        </w:rPr>
        <w:t>；</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rPr>
        <w:t>除单一来源采购项目外，为采购项目提供整体设计、规范编制或者项目管理、监理、检测等服务的供应商</w:t>
      </w:r>
      <w:r>
        <w:rPr>
          <w:rFonts w:hint="eastAsia" w:ascii="宋体" w:hAnsi="宋体" w:cs="宋体"/>
          <w:color w:val="000000"/>
          <w:szCs w:val="21"/>
        </w:rPr>
        <w:t>。</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w:t>
      </w:r>
      <w:r>
        <w:rPr>
          <w:rFonts w:hint="eastAsia" w:ascii="Arial" w:hAnsi="Arial" w:cs="Arial"/>
        </w:rPr>
        <w:t>银行、保险、石油化工、电力、电信等特殊行业的分公司参与</w:t>
      </w:r>
      <w:r>
        <w:rPr>
          <w:rFonts w:hint="eastAsia" w:ascii="宋体" w:hAnsi="宋体" w:cs="宋体"/>
          <w:color w:val="000000"/>
          <w:szCs w:val="21"/>
        </w:rPr>
        <w:t>谈判</w:t>
      </w:r>
      <w:r>
        <w:rPr>
          <w:rFonts w:hint="eastAsia" w:ascii="Arial" w:hAnsi="Arial" w:cs="Arial"/>
        </w:rPr>
        <w:t>，须取得总公司的相关授权（</w:t>
      </w:r>
      <w:r>
        <w:rPr>
          <w:rFonts w:hint="eastAsia" w:ascii="宋体" w:hAnsi="宋体" w:cs="宋体"/>
          <w:color w:val="000000"/>
          <w:szCs w:val="21"/>
        </w:rPr>
        <w:t>谈判响应</w:t>
      </w:r>
      <w:r>
        <w:rPr>
          <w:rFonts w:hint="eastAsia" w:ascii="Arial" w:hAnsi="Arial" w:cs="Arial"/>
        </w:rPr>
        <w:t>文件中须提供）；银行、保险、石油化工、电力、电信等特殊行业的分公司取得总公司相关授权后，</w:t>
      </w:r>
      <w:r>
        <w:rPr>
          <w:rFonts w:hint="eastAsia" w:ascii="宋体" w:hAnsi="宋体" w:cs="宋体"/>
          <w:color w:val="000000"/>
          <w:szCs w:val="21"/>
        </w:rPr>
        <w:t>谈判</w:t>
      </w:r>
      <w:r>
        <w:rPr>
          <w:rFonts w:hint="eastAsia" w:ascii="Arial" w:hAnsi="Arial" w:cs="Arial"/>
        </w:rPr>
        <w:t>文件中关于法定代表人的要求事项可由分公司负责人代理。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3.4、谈判响应人必须确保自己信息真实、准确，否则，谈判响应人因此蒙受损失，采购单位概不负责。</w:t>
      </w:r>
    </w:p>
    <w:p>
      <w:pPr>
        <w:spacing w:line="360" w:lineRule="auto"/>
        <w:ind w:firstLine="422" w:firstLineChars="200"/>
        <w:rPr>
          <w:rFonts w:ascii="宋体" w:hAnsi="宋体" w:cs="宋体"/>
          <w:color w:val="000000"/>
          <w:szCs w:val="21"/>
        </w:rPr>
      </w:pPr>
      <w:r>
        <w:rPr>
          <w:rFonts w:hint="eastAsia" w:ascii="宋体" w:hAnsi="宋体" w:cs="宋体"/>
          <w:b/>
          <w:color w:val="000000"/>
        </w:rPr>
        <w:t>4、踏勘现场：</w:t>
      </w:r>
      <w:r>
        <w:rPr>
          <w:rFonts w:hint="eastAsia" w:ascii="宋体" w:hAnsi="宋体" w:cs="宋体"/>
          <w:color w:val="000000"/>
          <w:szCs w:val="21"/>
        </w:rPr>
        <w:t>谈判响应人自行踏勘现场。谈判响应人应认真对本项目实施现场环境进行踏勘，对项目环境和影响等因素，做出理性的判断和估价。谈判响应人自行负责在踏勘现场发生的人员伤亡和财产损失。成交后签订合同时和供货安装过程中，谈判响应人不得以不了解或不完全了解现场情况为由，提出任何形式的增加费用或索赔的要求。</w:t>
      </w:r>
    </w:p>
    <w:p>
      <w:pPr>
        <w:adjustRightInd w:val="0"/>
        <w:spacing w:line="460" w:lineRule="exact"/>
        <w:ind w:firstLine="413" w:firstLineChars="196"/>
        <w:rPr>
          <w:rFonts w:ascii="宋体" w:hAnsi="宋体" w:cs="宋体"/>
          <w:b/>
          <w:color w:val="000000"/>
          <w:szCs w:val="21"/>
        </w:rPr>
      </w:pPr>
      <w:r>
        <w:rPr>
          <w:rFonts w:hint="eastAsia" w:ascii="宋体" w:hAnsi="宋体" w:cs="宋体"/>
          <w:b/>
          <w:color w:val="000000"/>
          <w:szCs w:val="21"/>
        </w:rPr>
        <w:t>5、联合体响应</w:t>
      </w:r>
    </w:p>
    <w:p>
      <w:pPr>
        <w:spacing w:line="360" w:lineRule="auto"/>
        <w:rPr>
          <w:rFonts w:ascii="宋体" w:hAnsi="宋体" w:cs="宋体"/>
          <w:color w:val="000000"/>
          <w:szCs w:val="21"/>
        </w:rPr>
      </w:pPr>
      <w:r>
        <w:rPr>
          <w:rFonts w:hint="eastAsia" w:ascii="宋体" w:hAnsi="宋体" w:cs="宋体"/>
          <w:color w:val="000000"/>
          <w:szCs w:val="21"/>
        </w:rPr>
        <w:t xml:space="preserve">    5.1、除非本项目明确要求不接受联合体形式响应外，两个或两个以上供应商可以组成一个联合体，以一个谈判响应人的身份响应。</w:t>
      </w:r>
    </w:p>
    <w:p>
      <w:pPr>
        <w:spacing w:line="360" w:lineRule="auto"/>
        <w:rPr>
          <w:rFonts w:ascii="宋体" w:hAnsi="宋体" w:cs="宋体"/>
          <w:color w:val="000000"/>
          <w:szCs w:val="21"/>
        </w:rPr>
      </w:pPr>
      <w:r>
        <w:rPr>
          <w:rFonts w:hint="eastAsia" w:ascii="宋体" w:hAnsi="宋体" w:cs="宋体"/>
          <w:color w:val="000000"/>
          <w:szCs w:val="21"/>
        </w:rPr>
        <w:t xml:space="preserve">    5.2、以联合体形式参加响应的，联合体各方均应当符合《政府采购法》第二十二条第一款规定的条件，根据采购项目的特殊要求规定谈判响应人特定条件的，联合体各方中至少应当有一方符合。</w:t>
      </w:r>
    </w:p>
    <w:p>
      <w:pPr>
        <w:spacing w:line="360" w:lineRule="auto"/>
        <w:rPr>
          <w:rFonts w:ascii="宋体" w:hAnsi="宋体" w:cs="宋体"/>
          <w:color w:val="000000"/>
          <w:szCs w:val="21"/>
        </w:rPr>
      </w:pPr>
      <w:r>
        <w:rPr>
          <w:rFonts w:hint="eastAsia" w:ascii="宋体" w:hAnsi="宋体" w:cs="宋体"/>
          <w:color w:val="000000"/>
          <w:szCs w:val="21"/>
        </w:rPr>
        <w:t xml:space="preserve">    5.3、联合体各方之间应当签订联合体协议，明确约定联合体各方应当承担的工作和相应的责任，并将联合体协议连同谈判响应文件一并提交采购单位。由同一专业的单位组成的联合体，按照同一资质等级较低的单位确定资质等级。联合体各方签订联合体协议后，不得再以自己的名义单独在同一项目中谈判响应，也不得组成新的联合体参加同一项目谈判响应。</w:t>
      </w:r>
    </w:p>
    <w:p>
      <w:pPr>
        <w:spacing w:line="360" w:lineRule="auto"/>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b/>
          <w:color w:val="000000"/>
        </w:rPr>
        <w:t>6、谈判响应费用：</w:t>
      </w:r>
      <w:r>
        <w:rPr>
          <w:rFonts w:hint="eastAsia" w:ascii="宋体" w:hAnsi="宋体" w:cs="宋体"/>
          <w:b/>
          <w:color w:val="000000"/>
          <w:szCs w:val="21"/>
        </w:rPr>
        <w:t>谈判响应人必须自行承担参加谈判响应的所有费用。</w:t>
      </w:r>
      <w:r>
        <w:rPr>
          <w:rFonts w:hint="eastAsia" w:ascii="宋体" w:hAnsi="宋体" w:cs="宋体"/>
          <w:color w:val="000000"/>
          <w:szCs w:val="21"/>
        </w:rPr>
        <w:t>不论成交与否，采购单位在任何情况下均无义务和责任承担这些费用。</w:t>
      </w:r>
    </w:p>
    <w:p>
      <w:pPr>
        <w:pStyle w:val="6"/>
        <w:ind w:firstLine="472" w:firstLineChars="196"/>
        <w:rPr>
          <w:rFonts w:hAnsi="宋体" w:cs="宋体"/>
          <w:color w:val="000000"/>
        </w:rPr>
      </w:pPr>
      <w:bookmarkStart w:id="50" w:name="_Toc1655"/>
      <w:bookmarkStart w:id="51" w:name="_Toc8536"/>
      <w:r>
        <w:rPr>
          <w:rFonts w:hint="eastAsia" w:hAnsi="宋体" w:cs="宋体"/>
          <w:color w:val="000000"/>
        </w:rPr>
        <w:t>二、竞争性谈判文件</w:t>
      </w:r>
      <w:bookmarkEnd w:id="50"/>
      <w:bookmarkEnd w:id="51"/>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7、竞争性谈判文件的构成</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7.1、竞争性谈判文件包括：</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（1）第一章  竞争性谈判公告；</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（2）第二章  谈判响应人须知；</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（3）第三章  服务需求及技术要求；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（4）第四章  合同主要条款；</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（5）第五章  谈判响应文件格式；</w:t>
      </w:r>
    </w:p>
    <w:p>
      <w:pPr>
        <w:spacing w:line="360" w:lineRule="auto"/>
        <w:rPr>
          <w:rFonts w:ascii="宋体" w:hAnsi="宋体" w:cs="宋体"/>
          <w:color w:val="000000"/>
          <w:szCs w:val="21"/>
        </w:rPr>
      </w:pPr>
      <w:r>
        <w:rPr>
          <w:rFonts w:hint="eastAsia" w:ascii="宋体" w:hAnsi="宋体" w:cs="宋体"/>
          <w:color w:val="000000"/>
          <w:szCs w:val="21"/>
        </w:rPr>
        <w:t xml:space="preserve">    7.2、谈判响应人应认真阅读和充分理解竞争性谈判文件中所有的内容。如果谈判响应人没有满足竞争性谈判文件的有关要求，其风险由谈判响应人自行承担。</w:t>
      </w:r>
    </w:p>
    <w:p>
      <w:pPr>
        <w:spacing w:line="360" w:lineRule="auto"/>
        <w:rPr>
          <w:rFonts w:ascii="宋体" w:hAnsi="宋体" w:cs="宋体"/>
          <w:szCs w:val="21"/>
        </w:rPr>
      </w:pPr>
      <w:r>
        <w:rPr>
          <w:rFonts w:hint="eastAsia" w:ascii="宋体" w:hAnsi="宋体" w:cs="宋体"/>
          <w:szCs w:val="21"/>
        </w:rPr>
        <w:t xml:space="preserve">    7.3、谈判响应人获取竞争性谈判文件后，应仔细检查竞争性谈判文件的所有内容，如有残缺、文本不清晰、表述不一致等问题应在获得竞争性谈判文件 1 日内向采购单位提出并将问题发送至邮箱</w:t>
      </w:r>
      <w:r>
        <w:rPr>
          <w:rFonts w:hint="eastAsia" w:ascii="宋体" w:hAnsi="宋体" w:cs="宋体"/>
          <w:szCs w:val="21"/>
          <w:lang w:eastAsia="zh-CN"/>
        </w:rPr>
        <w:t>3050346988</w:t>
      </w:r>
      <w:r>
        <w:rPr>
          <w:rFonts w:hint="eastAsia" w:ascii="宋体" w:hAnsi="宋体" w:cs="宋体"/>
          <w:szCs w:val="21"/>
        </w:rPr>
        <w:t>@qq.com，否则，由此引起的一切损失和后果由谈判响应人自行承担。谈判响应人同时应认真审阅竞争性谈判文件中所有的事项、格式、条款和规范要求等，若谈判响应人的谈判响应文件没有按竞争性谈判文件要求提交全部资料及自己理解产生的误差，或谈判响应文件没有对竞争性谈判文件做出实质性响应，其风险由谈判响应人自行承担，并根据有关条款</w:t>
      </w:r>
      <w:r>
        <w:rPr>
          <w:rFonts w:hint="eastAsia" w:ascii="宋体" w:hAnsi="宋体" w:cs="宋体"/>
        </w:rPr>
        <w:t>约定，</w:t>
      </w:r>
      <w:r>
        <w:rPr>
          <w:rFonts w:hint="eastAsia" w:ascii="宋体" w:hAnsi="宋体" w:cs="宋体"/>
          <w:szCs w:val="21"/>
        </w:rPr>
        <w:t>该谈判响应有可能被拒绝。</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8、竞争性谈判文件的澄清</w:t>
      </w:r>
    </w:p>
    <w:p>
      <w:pPr>
        <w:spacing w:line="360" w:lineRule="auto"/>
        <w:rPr>
          <w:rFonts w:ascii="宋体" w:hAnsi="宋体" w:cs="宋体"/>
          <w:szCs w:val="21"/>
        </w:rPr>
      </w:pPr>
      <w:r>
        <w:rPr>
          <w:rFonts w:hint="eastAsia" w:ascii="宋体" w:hAnsi="宋体" w:cs="宋体"/>
          <w:color w:val="000000"/>
          <w:szCs w:val="21"/>
        </w:rPr>
        <w:t xml:space="preserve">    </w:t>
      </w:r>
      <w:r>
        <w:rPr>
          <w:rFonts w:hint="eastAsia" w:ascii="宋体" w:hAnsi="宋体" w:cs="宋体"/>
          <w:szCs w:val="21"/>
        </w:rPr>
        <w:t xml:space="preserve">    8.1、谈判响应人可以要求采购单位对竞争性谈判文件中的有关问题进行答疑或澄清。</w:t>
      </w:r>
    </w:p>
    <w:p>
      <w:pPr>
        <w:spacing w:line="360" w:lineRule="auto"/>
        <w:rPr>
          <w:rFonts w:ascii="宋体" w:hAnsi="宋体" w:cs="宋体"/>
          <w:szCs w:val="21"/>
        </w:rPr>
      </w:pPr>
      <w:r>
        <w:rPr>
          <w:rFonts w:hint="eastAsia" w:ascii="宋体" w:hAnsi="宋体" w:cs="宋体"/>
          <w:szCs w:val="21"/>
        </w:rPr>
        <w:t xml:space="preserve">    8.2、谈判响应人对竞争性谈判文件如有质疑，应在提交响应文件截止时间2个工作日前向采购单位提出并将问题发送至邮箱</w:t>
      </w:r>
      <w:r>
        <w:rPr>
          <w:rFonts w:hint="eastAsia" w:ascii="宋体" w:hAnsi="宋体" w:cs="宋体"/>
          <w:szCs w:val="21"/>
          <w:lang w:eastAsia="zh-CN"/>
        </w:rPr>
        <w:t>3050346988</w:t>
      </w:r>
      <w:r>
        <w:rPr>
          <w:rFonts w:hint="eastAsia" w:ascii="宋体" w:hAnsi="宋体" w:cs="宋体"/>
          <w:szCs w:val="21"/>
        </w:rPr>
        <w:t>@qq.com。</w:t>
      </w:r>
    </w:p>
    <w:p>
      <w:pPr>
        <w:spacing w:line="360" w:lineRule="auto"/>
        <w:rPr>
          <w:rFonts w:ascii="宋体" w:hAnsi="宋体" w:cs="宋体"/>
          <w:szCs w:val="21"/>
        </w:rPr>
      </w:pPr>
      <w:r>
        <w:rPr>
          <w:rFonts w:hint="eastAsia" w:ascii="宋体" w:hAnsi="宋体" w:cs="宋体"/>
          <w:szCs w:val="21"/>
        </w:rPr>
        <w:t xml:space="preserve">    8.3、如果谈判响应人未在</w:t>
      </w:r>
      <w:r>
        <w:rPr>
          <w:rFonts w:hint="eastAsia" w:ascii="宋体" w:hAnsi="宋体" w:cs="宋体"/>
        </w:rPr>
        <w:t>约定</w:t>
      </w:r>
      <w:r>
        <w:rPr>
          <w:rFonts w:hint="eastAsia" w:ascii="宋体" w:hAnsi="宋体" w:cs="宋体"/>
          <w:szCs w:val="21"/>
        </w:rPr>
        <w:t>的时间内对竞争性谈判文件有关条款提出质疑，则视为充分理解竞争性谈判文件所有内容。一旦提交谈判响应文件，则认为该谈判响应人接受竞争性谈判文件的所有条款。</w:t>
      </w:r>
    </w:p>
    <w:p>
      <w:pPr>
        <w:spacing w:line="360" w:lineRule="auto"/>
        <w:rPr>
          <w:rFonts w:ascii="宋体" w:hAnsi="宋体" w:cs="宋体"/>
          <w:color w:val="000000"/>
          <w:szCs w:val="21"/>
        </w:rPr>
      </w:pPr>
      <w:r>
        <w:rPr>
          <w:rFonts w:hint="eastAsia" w:ascii="宋体" w:hAnsi="宋体" w:cs="宋体"/>
          <w:szCs w:val="21"/>
        </w:rPr>
        <w:t xml:space="preserve">    8.4、采购单位对在</w:t>
      </w:r>
      <w:r>
        <w:rPr>
          <w:rFonts w:hint="eastAsia" w:ascii="宋体" w:hAnsi="宋体" w:cs="宋体"/>
        </w:rPr>
        <w:t>约定</w:t>
      </w:r>
      <w:r>
        <w:rPr>
          <w:rFonts w:hint="eastAsia" w:ascii="宋体" w:hAnsi="宋体" w:cs="宋体"/>
          <w:szCs w:val="21"/>
        </w:rPr>
        <w:t>时间收到的、且需要做出澄清的问题，将以本须知所述方式进行答复，</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9、竞争性谈判文件的修改</w:t>
      </w:r>
    </w:p>
    <w:p>
      <w:pPr>
        <w:spacing w:line="360" w:lineRule="auto"/>
        <w:rPr>
          <w:rFonts w:ascii="宋体" w:hAnsi="宋体" w:cs="宋体"/>
          <w:color w:val="000000"/>
          <w:szCs w:val="21"/>
        </w:rPr>
      </w:pPr>
      <w:r>
        <w:rPr>
          <w:rFonts w:hint="eastAsia" w:ascii="宋体" w:hAnsi="宋体" w:cs="宋体"/>
          <w:color w:val="000000"/>
          <w:szCs w:val="21"/>
        </w:rPr>
        <w:t xml:space="preserve">    9.1、采购单位可以对竞争性谈判文件进行修改。</w:t>
      </w:r>
    </w:p>
    <w:p>
      <w:pPr>
        <w:spacing w:line="540" w:lineRule="exact"/>
        <w:ind w:firstLine="420" w:firstLineChars="200"/>
        <w:rPr>
          <w:rFonts w:ascii="宋体"/>
          <w:szCs w:val="21"/>
        </w:rPr>
      </w:pPr>
      <w:bookmarkStart w:id="52" w:name="_Toc9821"/>
      <w:bookmarkStart w:id="53" w:name="_Toc6760"/>
      <w:r>
        <w:rPr>
          <w:rFonts w:ascii="宋体" w:hAnsi="宋体"/>
          <w:szCs w:val="21"/>
        </w:rPr>
        <w:t>9.2</w:t>
      </w:r>
      <w:r>
        <w:rPr>
          <w:rFonts w:hint="eastAsia" w:ascii="宋体" w:hAnsi="宋体"/>
          <w:szCs w:val="21"/>
        </w:rPr>
        <w:t>、采购单位对供应商质疑的答复和对谈判文件的澄清、修改、补充说明等内容</w:t>
      </w:r>
      <w:r>
        <w:rPr>
          <w:rFonts w:hint="eastAsia" w:ascii="宋体" w:hAnsi="宋体"/>
          <w:b/>
          <w:bCs/>
          <w:szCs w:val="21"/>
        </w:rPr>
        <w:t>均通过安庆市皖宜项目咨询管理有限公司（http://wyxmzx.com/index.html）</w:t>
      </w:r>
      <w:r>
        <w:rPr>
          <w:rFonts w:hint="eastAsia" w:ascii="宋体" w:hAnsi="宋体"/>
          <w:b/>
          <w:bCs/>
          <w:szCs w:val="21"/>
          <w:lang w:eastAsia="zh-CN"/>
        </w:rPr>
        <w:t>、安庆新闻网（http://www.aqnews.com.cn）</w:t>
      </w:r>
      <w:r>
        <w:rPr>
          <w:rFonts w:hint="eastAsia" w:ascii="宋体" w:hAnsi="宋体"/>
          <w:b/>
          <w:bCs/>
          <w:szCs w:val="21"/>
          <w:lang w:val="en-US" w:eastAsia="zh-CN"/>
        </w:rPr>
        <w:t>发布</w:t>
      </w:r>
      <w:r>
        <w:rPr>
          <w:rFonts w:hint="eastAsia" w:ascii="宋体" w:hAnsi="宋体"/>
          <w:b/>
          <w:bCs/>
          <w:szCs w:val="21"/>
        </w:rPr>
        <w:t>，该修改内容作为谈判文件的组成部分，具有约束作用</w:t>
      </w:r>
      <w:r>
        <w:rPr>
          <w:rFonts w:hint="eastAsia" w:ascii="宋体" w:hAnsi="宋体"/>
          <w:szCs w:val="21"/>
        </w:rPr>
        <w:t>。</w:t>
      </w:r>
    </w:p>
    <w:p>
      <w:pPr>
        <w:spacing w:line="360" w:lineRule="auto"/>
        <w:rPr>
          <w:rFonts w:ascii="宋体" w:hAnsi="宋体" w:cs="宋体"/>
          <w:szCs w:val="21"/>
        </w:rPr>
      </w:pPr>
      <w:r>
        <w:rPr>
          <w:rFonts w:hint="eastAsia" w:ascii="宋体" w:hAnsi="宋体" w:cs="宋体"/>
          <w:szCs w:val="21"/>
        </w:rPr>
        <w:t xml:space="preserve">    9.3、当竞争性谈判文件与对竞争性谈判文件的澄清、修改、补充等在同一内容的表述上不一致时，以最后发出的为准。</w:t>
      </w:r>
    </w:p>
    <w:p>
      <w:pPr>
        <w:spacing w:line="360" w:lineRule="auto"/>
        <w:ind w:firstLine="420" w:firstLineChars="200"/>
        <w:rPr>
          <w:rFonts w:ascii="宋体" w:hAnsi="宋体" w:cs="宋体"/>
          <w:szCs w:val="21"/>
        </w:rPr>
      </w:pPr>
      <w:r>
        <w:rPr>
          <w:rFonts w:hint="eastAsia" w:ascii="宋体" w:hAnsi="宋体" w:cs="宋体"/>
          <w:szCs w:val="21"/>
        </w:rPr>
        <w:t xml:space="preserve"> </w:t>
      </w:r>
      <w:r>
        <w:rPr>
          <w:rFonts w:ascii="宋体" w:hAnsi="宋体"/>
          <w:szCs w:val="21"/>
        </w:rPr>
        <w:t>9.4</w:t>
      </w:r>
      <w:r>
        <w:rPr>
          <w:rFonts w:hint="eastAsia" w:ascii="宋体" w:hAnsi="宋体"/>
          <w:szCs w:val="21"/>
        </w:rPr>
        <w:t>、为使供应商有充分时间对谈判文件的澄清、修改、补充部分进行研究、或是由于其他原因，采购单位可以决定顺延谈判时间，具体时间通过</w:t>
      </w:r>
      <w:r>
        <w:rPr>
          <w:rFonts w:hint="eastAsia" w:ascii="宋体" w:hAnsi="宋体" w:cs="宋体"/>
          <w:szCs w:val="21"/>
        </w:rPr>
        <w:t>电子邮件方式通知各谈判响应人</w:t>
      </w:r>
      <w:r>
        <w:rPr>
          <w:rFonts w:hint="eastAsia" w:ascii="宋体" w:hAnsi="宋体"/>
          <w:szCs w:val="21"/>
        </w:rPr>
        <w:t>。</w:t>
      </w:r>
    </w:p>
    <w:p>
      <w:pPr>
        <w:pStyle w:val="6"/>
        <w:ind w:firstLine="472" w:firstLineChars="196"/>
        <w:rPr>
          <w:rFonts w:hAnsi="宋体" w:cs="宋体"/>
          <w:color w:val="000000"/>
        </w:rPr>
      </w:pPr>
      <w:r>
        <w:rPr>
          <w:rFonts w:hint="eastAsia" w:hAnsi="宋体" w:cs="宋体"/>
          <w:color w:val="000000"/>
        </w:rPr>
        <w:t>三、谈判响应文件的编制</w:t>
      </w:r>
      <w:bookmarkEnd w:id="52"/>
      <w:bookmarkEnd w:id="53"/>
    </w:p>
    <w:p>
      <w:pPr>
        <w:spacing w:line="360" w:lineRule="auto"/>
        <w:rPr>
          <w:rFonts w:ascii="宋体" w:hAnsi="宋体" w:cs="宋体"/>
          <w:b/>
          <w:color w:val="000000"/>
          <w:szCs w:val="21"/>
        </w:rPr>
      </w:pPr>
      <w:r>
        <w:rPr>
          <w:rFonts w:hint="eastAsia" w:ascii="宋体" w:hAnsi="宋体" w:cs="宋体"/>
          <w:b/>
          <w:color w:val="000000"/>
          <w:szCs w:val="21"/>
        </w:rPr>
        <w:t xml:space="preserve">    10、谈判响应的语言及度量衡单位</w:t>
      </w:r>
    </w:p>
    <w:p>
      <w:pPr>
        <w:spacing w:line="360" w:lineRule="auto"/>
        <w:rPr>
          <w:rFonts w:ascii="宋体" w:hAnsi="宋体" w:cs="宋体"/>
          <w:color w:val="000000"/>
          <w:szCs w:val="21"/>
        </w:rPr>
      </w:pPr>
      <w:r>
        <w:rPr>
          <w:rFonts w:hint="eastAsia" w:ascii="宋体" w:hAnsi="宋体" w:cs="宋体"/>
          <w:color w:val="000000"/>
          <w:szCs w:val="21"/>
        </w:rPr>
        <w:t xml:space="preserve">    10.1、谈判响应人的谈判响应文件、谈判响应人与采购单位就谈判响应的所有往来函电，均须使用简体中文。</w:t>
      </w:r>
    </w:p>
    <w:p>
      <w:pPr>
        <w:spacing w:line="360" w:lineRule="auto"/>
        <w:rPr>
          <w:rFonts w:ascii="宋体" w:hAnsi="宋体" w:cs="宋体"/>
          <w:color w:val="000000"/>
          <w:szCs w:val="21"/>
        </w:rPr>
      </w:pPr>
      <w:r>
        <w:rPr>
          <w:rFonts w:hint="eastAsia" w:ascii="宋体" w:hAnsi="宋体" w:cs="宋体"/>
          <w:color w:val="000000"/>
          <w:szCs w:val="21"/>
        </w:rPr>
        <w:t xml:space="preserve">    10.2、除竞争性谈判文件中另有</w:t>
      </w:r>
      <w:r>
        <w:rPr>
          <w:rFonts w:hint="eastAsia" w:ascii="宋体" w:hAnsi="宋体" w:cs="宋体"/>
          <w:color w:val="000000"/>
        </w:rPr>
        <w:t>约定</w:t>
      </w:r>
      <w:r>
        <w:rPr>
          <w:rFonts w:hint="eastAsia" w:ascii="宋体" w:hAnsi="宋体" w:cs="宋体"/>
          <w:color w:val="000000"/>
          <w:szCs w:val="21"/>
        </w:rPr>
        <w:t>外，谈判响应文件所使用的度量衡均须采用中华人民共和国法定计量单位。</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11、谈判响应文件的构成</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11.1、谈判响应文件应该按照“谈判响应文件格式”</w:t>
      </w:r>
      <w:r>
        <w:rPr>
          <w:rFonts w:hint="eastAsia" w:ascii="宋体" w:hAnsi="宋体" w:cs="宋体"/>
          <w:color w:val="000000"/>
        </w:rPr>
        <w:t>约定</w:t>
      </w:r>
      <w:r>
        <w:rPr>
          <w:rFonts w:hint="eastAsia" w:ascii="宋体" w:hAnsi="宋体" w:cs="宋体"/>
          <w:color w:val="000000"/>
          <w:szCs w:val="21"/>
        </w:rPr>
        <w:t>的内容和顺序进行编写。</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11.2、谈判响应人应提交“谈判响应人须知前附表”中</w:t>
      </w:r>
      <w:r>
        <w:rPr>
          <w:rFonts w:hint="eastAsia" w:ascii="宋体" w:hAnsi="宋体" w:cs="宋体"/>
          <w:color w:val="000000"/>
        </w:rPr>
        <w:t>约定</w:t>
      </w:r>
      <w:r>
        <w:rPr>
          <w:rFonts w:hint="eastAsia" w:ascii="宋体" w:hAnsi="宋体" w:cs="宋体"/>
          <w:color w:val="000000"/>
          <w:szCs w:val="21"/>
        </w:rPr>
        <w:t>的谈判响应文件。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11.3、谈判响应人必须对其谈判响应文件的真实性与准确性负责。谈判响应人一旦成交，其谈判响应文件将作为合同的重要组成部分。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11.4、谈判响应人提供的产品质量和服务均能满足竞争性谈判文件</w:t>
      </w:r>
      <w:r>
        <w:rPr>
          <w:rFonts w:hint="eastAsia" w:ascii="宋体" w:hAnsi="宋体" w:cs="宋体"/>
          <w:color w:val="000000"/>
        </w:rPr>
        <w:t>约定</w:t>
      </w:r>
      <w:r>
        <w:rPr>
          <w:rFonts w:hint="eastAsia" w:ascii="宋体" w:hAnsi="宋体" w:cs="宋体"/>
          <w:color w:val="000000"/>
          <w:szCs w:val="21"/>
        </w:rPr>
        <w:t>的实质性要求。否则，其谈判响应文件在评审时有可能被认为是对竞争性谈判文件未做出实质性的响应，而被谈判小组终止对其作进一步的评审。</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12、谈判响应报价</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12.1、谈判响应文件的服务报价表(首轮）上应清楚地标明谈判响应人拟服务的名称、人员、设备、价格等内容。单价不作为合同结算依据。</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12.2、除非特别要求，每个项目（或每个包）只允许有一个方案、一个报价。多方案、多报价的谈判响应文件将视为无效谈判响应文件。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12.3、谈判响应人的报价应包含满足本次采购需求的所有费用（包括但不限于：人工费、材料费、交通费、培训费、印刷费、管理费、保险、税金等）。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12.4、谈判响应报价高于最高限价的谈判响应无效。</w:t>
      </w:r>
    </w:p>
    <w:p>
      <w:pPr>
        <w:spacing w:line="360" w:lineRule="auto"/>
        <w:ind w:firstLine="420" w:firstLineChars="200"/>
        <w:rPr>
          <w:rFonts w:ascii="宋体" w:hAnsi="宋体"/>
          <w:szCs w:val="21"/>
        </w:rPr>
      </w:pPr>
      <w:r>
        <w:rPr>
          <w:rFonts w:hint="eastAsia" w:ascii="宋体" w:hAnsi="宋体"/>
          <w:szCs w:val="21"/>
        </w:rPr>
        <w:t>12.</w:t>
      </w:r>
      <w:r>
        <w:rPr>
          <w:rFonts w:ascii="宋体" w:hAnsi="宋体"/>
          <w:szCs w:val="21"/>
        </w:rPr>
        <w:t>5</w:t>
      </w:r>
      <w:r>
        <w:rPr>
          <w:rFonts w:hint="eastAsia" w:ascii="宋体" w:hAnsi="宋体"/>
          <w:szCs w:val="21"/>
        </w:rPr>
        <w:t>、谈判响应文件内容不一致的确认。</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.5</w:t>
      </w:r>
      <w:r>
        <w:rPr>
          <w:rFonts w:ascii="宋体" w:hAnsi="宋体" w:cs="宋体"/>
          <w:color w:val="000000"/>
          <w:szCs w:val="21"/>
        </w:rPr>
        <w:t>.1</w:t>
      </w:r>
      <w:r>
        <w:rPr>
          <w:rFonts w:hint="eastAsia" w:ascii="宋体" w:hAnsi="宋体" w:cs="宋体"/>
          <w:color w:val="000000"/>
          <w:szCs w:val="21"/>
        </w:rPr>
        <w:t>谈判响应文件中谈判响应函(谈判响应报价)与谈判响应文件中相应内容不一致的,以谈判响应函(谈判响应报价)为准;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 xml:space="preserve">5.2 </w:t>
      </w:r>
      <w:r>
        <w:rPr>
          <w:rFonts w:hint="eastAsia" w:ascii="宋体" w:hAnsi="宋体" w:cs="宋体"/>
          <w:color w:val="000000"/>
          <w:szCs w:val="21"/>
        </w:rPr>
        <w:t>若大写金额和小写金额不一致的，以大写金额为准;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 xml:space="preserve">5.3 </w:t>
      </w:r>
      <w:r>
        <w:rPr>
          <w:rFonts w:hint="eastAsia" w:ascii="宋体" w:hAnsi="宋体" w:cs="宋体"/>
          <w:color w:val="000000"/>
          <w:szCs w:val="21"/>
        </w:rPr>
        <w:t>单价金额小数点或者百分比有明显错位的，应以谈判响应函(谈判响应报价)为准，并修正单价。</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 xml:space="preserve">5.4 </w:t>
      </w:r>
      <w:r>
        <w:rPr>
          <w:rFonts w:hint="eastAsia" w:ascii="宋体" w:hAnsi="宋体" w:cs="宋体"/>
          <w:color w:val="000000"/>
          <w:szCs w:val="21"/>
        </w:rPr>
        <w:t>总价金额与按单价汇总金额不一致的，以单价金额计算结果为准。</w:t>
      </w:r>
    </w:p>
    <w:p>
      <w:pPr>
        <w:spacing w:line="360" w:lineRule="auto"/>
        <w:ind w:firstLine="420" w:firstLineChars="200"/>
        <w:rPr>
          <w:rFonts w:ascii="宋体" w:hAnsi="宋体" w:cs="宋体"/>
          <w:szCs w:val="21"/>
        </w:rPr>
      </w:pPr>
      <w:r>
        <w:rPr>
          <w:rFonts w:hint="eastAsia" w:ascii="宋体" w:hAnsi="宋体" w:cs="宋体"/>
          <w:szCs w:val="21"/>
        </w:rPr>
        <w:t>同时出现两种以上不一致的，按照以上规定的顺序修正。修正后的报价应当采用书面形式，并加盖公章或者由法定代表人或其委托代理人签字,但不得超出谈判响应文件的范围或者改变谈判响应文件的实质性内容。经谈判响应人确认后产生约束力，谈判响应人不确认的，其谈判响应无效。</w:t>
      </w:r>
    </w:p>
    <w:p>
      <w:pPr>
        <w:numPr>
          <w:ilvl w:val="0"/>
          <w:numId w:val="2"/>
        </w:numPr>
        <w:spacing w:line="360" w:lineRule="auto"/>
        <w:ind w:firstLine="422" w:firstLineChars="200"/>
        <w:rPr>
          <w:rFonts w:ascii="宋体" w:hAnsi="宋体" w:cs="宋体"/>
          <w:color w:val="000000"/>
          <w:szCs w:val="21"/>
        </w:rPr>
      </w:pPr>
      <w:r>
        <w:rPr>
          <w:rFonts w:hint="eastAsia" w:ascii="宋体" w:hAnsi="宋体" w:cs="宋体"/>
          <w:b/>
          <w:color w:val="000000"/>
          <w:szCs w:val="21"/>
        </w:rPr>
        <w:t>谈判响应货币：</w:t>
      </w:r>
      <w:r>
        <w:rPr>
          <w:rFonts w:hint="eastAsia" w:ascii="宋体" w:hAnsi="宋体" w:cs="宋体"/>
          <w:color w:val="000000"/>
          <w:szCs w:val="21"/>
        </w:rPr>
        <w:t>人民币。</w:t>
      </w:r>
    </w:p>
    <w:p>
      <w:pPr>
        <w:numPr>
          <w:ilvl w:val="0"/>
          <w:numId w:val="2"/>
        </w:numPr>
        <w:spacing w:line="360" w:lineRule="auto"/>
        <w:ind w:firstLine="422" w:firstLineChars="200"/>
        <w:rPr>
          <w:rFonts w:ascii="宋体" w:hAnsi="宋体" w:cs="宋体"/>
          <w:szCs w:val="21"/>
        </w:rPr>
      </w:pPr>
      <w:r>
        <w:rPr>
          <w:rFonts w:hint="eastAsia" w:ascii="宋体" w:hAnsi="宋体" w:cs="宋体"/>
          <w:b/>
          <w:szCs w:val="21"/>
        </w:rPr>
        <w:t>谈判响应保证金：</w:t>
      </w:r>
      <w:r>
        <w:rPr>
          <w:rFonts w:hint="eastAsia" w:ascii="宋体" w:hAnsi="宋体" w:cs="宋体"/>
          <w:szCs w:val="21"/>
        </w:rPr>
        <w:t>本项目不收取</w:t>
      </w:r>
    </w:p>
    <w:p>
      <w:pPr>
        <w:spacing w:line="360" w:lineRule="auto"/>
        <w:ind w:firstLine="420" w:firstLineChars="200"/>
        <w:rPr>
          <w:rFonts w:ascii="宋体" w:hAnsi="宋体"/>
          <w:szCs w:val="21"/>
        </w:rPr>
      </w:pPr>
      <w:r>
        <w:rPr>
          <w:rFonts w:hint="eastAsia" w:ascii="宋体" w:hAnsi="宋体"/>
          <w:szCs w:val="21"/>
        </w:rPr>
        <w:t>14.1、有下列情形之一的，视为谈判响应人串通投标，其谈判响应无效：</w:t>
      </w:r>
    </w:p>
    <w:p>
      <w:pPr>
        <w:spacing w:line="360" w:lineRule="auto"/>
        <w:ind w:firstLine="420" w:firstLineChars="200"/>
        <w:rPr>
          <w:rFonts w:ascii="宋体" w:hAnsi="宋体"/>
          <w:szCs w:val="21"/>
        </w:rPr>
      </w:pPr>
      <w:r>
        <w:rPr>
          <w:rFonts w:hint="eastAsia" w:ascii="宋体" w:hAnsi="宋体"/>
          <w:szCs w:val="21"/>
        </w:rPr>
        <w:t>（1）不同谈判响应人的谈判响应文件由同一单位或者个人编制；</w:t>
      </w:r>
    </w:p>
    <w:p>
      <w:pPr>
        <w:spacing w:line="360" w:lineRule="auto"/>
        <w:ind w:firstLine="420" w:firstLineChars="200"/>
        <w:rPr>
          <w:rFonts w:ascii="宋体" w:hAnsi="宋体"/>
          <w:szCs w:val="21"/>
        </w:rPr>
      </w:pPr>
      <w:r>
        <w:rPr>
          <w:rFonts w:hint="eastAsia" w:ascii="宋体" w:hAnsi="宋体"/>
          <w:szCs w:val="21"/>
        </w:rPr>
        <w:t>（2）不同谈判响应人委托同一单位或者个人办理谈判响应事宜；</w:t>
      </w:r>
    </w:p>
    <w:p>
      <w:pPr>
        <w:spacing w:line="360" w:lineRule="auto"/>
        <w:ind w:firstLine="420" w:firstLineChars="200"/>
        <w:rPr>
          <w:rFonts w:ascii="宋体" w:hAnsi="宋体"/>
          <w:szCs w:val="21"/>
        </w:rPr>
      </w:pPr>
      <w:r>
        <w:rPr>
          <w:rFonts w:hint="eastAsia" w:ascii="宋体" w:hAnsi="宋体"/>
          <w:szCs w:val="21"/>
        </w:rPr>
        <w:t>（3）不同谈判响应人的谈判响应文件载明的项目管理成员或联系人员为同一人；</w:t>
      </w:r>
    </w:p>
    <w:p>
      <w:pPr>
        <w:spacing w:line="360" w:lineRule="auto"/>
        <w:ind w:firstLine="420" w:firstLineChars="200"/>
        <w:rPr>
          <w:rFonts w:ascii="宋体" w:hAnsi="宋体"/>
          <w:szCs w:val="21"/>
        </w:rPr>
      </w:pPr>
      <w:r>
        <w:rPr>
          <w:rFonts w:hint="eastAsia" w:ascii="宋体" w:hAnsi="宋体"/>
          <w:szCs w:val="21"/>
        </w:rPr>
        <w:t>（4）不同谈判响应人的谈判响应文件异常一致或者谈判响应报价呈规律性差异；</w:t>
      </w:r>
    </w:p>
    <w:p>
      <w:pPr>
        <w:spacing w:line="360" w:lineRule="auto"/>
        <w:ind w:firstLine="420" w:firstLineChars="200"/>
        <w:rPr>
          <w:rFonts w:ascii="宋体" w:hAnsi="宋体"/>
          <w:szCs w:val="21"/>
        </w:rPr>
      </w:pPr>
      <w:r>
        <w:rPr>
          <w:rFonts w:hint="eastAsia" w:ascii="宋体" w:hAnsi="宋体"/>
          <w:szCs w:val="21"/>
        </w:rPr>
        <w:t>（5）不同谈判响应人的谈判响应文件相互混装；</w:t>
      </w:r>
    </w:p>
    <w:p>
      <w:pPr>
        <w:spacing w:line="360" w:lineRule="auto"/>
        <w:ind w:firstLine="420" w:firstLineChars="200"/>
        <w:rPr>
          <w:rFonts w:ascii="宋体" w:hAnsi="宋体" w:cs="宋体"/>
          <w:b/>
          <w:szCs w:val="21"/>
        </w:rPr>
      </w:pPr>
      <w:r>
        <w:rPr>
          <w:rFonts w:hint="eastAsia" w:ascii="宋体" w:hAnsi="宋体" w:cs="宋体"/>
          <w:szCs w:val="21"/>
        </w:rPr>
        <w:t>14.2、</w:t>
      </w:r>
      <w:r>
        <w:rPr>
          <w:rFonts w:hint="eastAsia" w:ascii="宋体" w:hAnsi="宋体" w:cs="宋体"/>
          <w:b/>
          <w:szCs w:val="21"/>
        </w:rPr>
        <w:t>谈判响应人在本项目竞争性谈判过程中有下列行为之一的，成交无效，给采购人造成的损失的，谈判响应人还应予以赔偿。构成犯罪的，依法追究刑事责任。</w:t>
      </w:r>
    </w:p>
    <w:p>
      <w:pPr>
        <w:widowControl/>
        <w:spacing w:line="500" w:lineRule="exact"/>
        <w:ind w:firstLine="420" w:firstLineChars="200"/>
        <w:jc w:val="left"/>
        <w:rPr>
          <w:rFonts w:ascii="宋体" w:hAnsi="宋体" w:cs="宋体"/>
        </w:rPr>
      </w:pPr>
      <w:r>
        <w:rPr>
          <w:rFonts w:hint="eastAsia" w:ascii="宋体" w:hAnsi="宋体" w:cs="宋体"/>
        </w:rPr>
        <w:t>（1）成交后无正当理由不与采购单位签订合同的；</w:t>
      </w:r>
    </w:p>
    <w:p>
      <w:pPr>
        <w:widowControl/>
        <w:spacing w:line="500" w:lineRule="exact"/>
        <w:ind w:firstLine="420" w:firstLineChars="200"/>
        <w:jc w:val="left"/>
        <w:rPr>
          <w:rFonts w:ascii="宋体" w:hAnsi="宋体" w:cs="宋体"/>
          <w:szCs w:val="21"/>
        </w:rPr>
      </w:pPr>
      <w:r>
        <w:rPr>
          <w:rFonts w:hint="eastAsia" w:ascii="宋体" w:hAnsi="宋体" w:cs="宋体"/>
        </w:rPr>
        <w:t>（2）</w:t>
      </w:r>
      <w:r>
        <w:rPr>
          <w:rFonts w:hint="eastAsia" w:ascii="宋体" w:hAnsi="宋体" w:cs="宋体"/>
          <w:szCs w:val="21"/>
        </w:rPr>
        <w:t>在签订合同时向采购人提出附加条件，或者不按照竞争性谈判文件要求提交履约保证金的；</w:t>
      </w:r>
    </w:p>
    <w:p>
      <w:pPr>
        <w:widowControl/>
        <w:spacing w:line="500" w:lineRule="exact"/>
        <w:ind w:firstLine="420" w:firstLineChars="200"/>
        <w:jc w:val="left"/>
        <w:rPr>
          <w:rFonts w:ascii="宋体" w:hAnsi="宋体" w:cs="宋体"/>
          <w:szCs w:val="21"/>
        </w:rPr>
      </w:pPr>
      <w:r>
        <w:rPr>
          <w:rFonts w:hint="eastAsia" w:ascii="宋体" w:hAnsi="宋体" w:cs="宋体"/>
          <w:szCs w:val="21"/>
        </w:rPr>
        <w:t>（3）将成交项目转让给他人、或在谈判响应文件中未说明，将成交项目分包给他人的；</w:t>
      </w:r>
    </w:p>
    <w:p>
      <w:pPr>
        <w:spacing w:line="360" w:lineRule="auto"/>
        <w:ind w:firstLine="420" w:firstLineChars="200"/>
        <w:rPr>
          <w:rFonts w:ascii="宋体" w:hAnsi="宋体" w:cs="宋体"/>
        </w:rPr>
      </w:pPr>
      <w:r>
        <w:rPr>
          <w:rFonts w:hint="eastAsia" w:ascii="宋体" w:hAnsi="宋体" w:cs="宋体"/>
        </w:rPr>
        <w:t>（4）</w:t>
      </w:r>
      <w:r>
        <w:rPr>
          <w:rFonts w:hint="eastAsia" w:ascii="宋体" w:hAnsi="宋体" w:cs="宋体"/>
          <w:szCs w:val="21"/>
        </w:rPr>
        <w:t>谈判响应人相互串通或者与采购人串通的；</w:t>
      </w:r>
    </w:p>
    <w:p>
      <w:pPr>
        <w:spacing w:line="360" w:lineRule="auto"/>
        <w:ind w:firstLine="420" w:firstLineChars="200"/>
        <w:rPr>
          <w:rFonts w:ascii="宋体" w:hAnsi="宋体" w:cs="宋体"/>
          <w:szCs w:val="21"/>
        </w:rPr>
      </w:pPr>
      <w:r>
        <w:rPr>
          <w:rFonts w:hint="eastAsia" w:ascii="宋体" w:hAnsi="宋体" w:cs="宋体"/>
          <w:szCs w:val="21"/>
        </w:rPr>
        <w:t>（5）谈判响应人以向采购人或者谈判小组成员行贿的手段谋取成交的；</w:t>
      </w:r>
    </w:p>
    <w:p>
      <w:pPr>
        <w:spacing w:line="360" w:lineRule="auto"/>
        <w:ind w:firstLine="420" w:firstLineChars="200"/>
        <w:rPr>
          <w:rFonts w:ascii="宋体" w:hAnsi="宋体" w:cs="宋体"/>
          <w:szCs w:val="21"/>
        </w:rPr>
      </w:pPr>
      <w:r>
        <w:rPr>
          <w:rFonts w:hint="eastAsia" w:ascii="宋体" w:hAnsi="宋体" w:cs="宋体"/>
          <w:szCs w:val="21"/>
        </w:rPr>
        <w:t>（6）谈判响应人以他人名义谈判响应或者以其他方式弄虚作假，骗取成交的；</w:t>
      </w:r>
    </w:p>
    <w:p>
      <w:pPr>
        <w:spacing w:line="360" w:lineRule="auto"/>
        <w:ind w:firstLine="420" w:firstLineChars="200"/>
        <w:rPr>
          <w:rFonts w:ascii="宋体" w:hAnsi="宋体" w:cs="宋体"/>
          <w:szCs w:val="21"/>
        </w:rPr>
      </w:pPr>
      <w:r>
        <w:rPr>
          <w:rFonts w:hint="eastAsia" w:ascii="宋体" w:hAnsi="宋体" w:cs="宋体"/>
          <w:szCs w:val="21"/>
        </w:rPr>
        <w:t>（7）违法与采购人就价格、方案等实质性内容进行谈判，影响成交结果的；</w:t>
      </w:r>
    </w:p>
    <w:p>
      <w:pPr>
        <w:spacing w:line="360" w:lineRule="auto"/>
        <w:ind w:firstLine="420" w:firstLineChars="200"/>
        <w:rPr>
          <w:rFonts w:ascii="宋体" w:hAnsi="宋体" w:cs="宋体"/>
          <w:szCs w:val="21"/>
        </w:rPr>
      </w:pPr>
      <w:r>
        <w:rPr>
          <w:rFonts w:hint="eastAsia" w:ascii="宋体" w:hAnsi="宋体" w:cs="宋体"/>
          <w:szCs w:val="21"/>
        </w:rPr>
        <w:t>（8）法律、法规规定及竞争性谈判文件约定的其他情形。</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15、谈判响应有效期</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15.1、谈判响应有效期见“谈判响应人须知前附表”的约定。</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15.2、在谈判响应有效期内，谈判响应人不得要求撤销或修改其谈判响应文件。</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15.3、在特殊情况下，采购单位可于原谈判响应有效期满之前，向成交候选人提出延长谈判响应有效期的要求。成交候选人可以拒绝采购单位的这种要求，但是对拒绝延长谈判响应有效期的成交候选人，采购单位有权利拒绝其谈判响应文件。同意延长谈判响应有效期的成交候选人既不能要求也不允许修改竞争性谈判文件和其谈判响应文件所有内容。提出谈判响应有效期的延长要求和成交候选人对该要求的答复均采用书面形式。</w:t>
      </w:r>
    </w:p>
    <w:p>
      <w:pPr>
        <w:pStyle w:val="12"/>
        <w:spacing w:line="360" w:lineRule="exact"/>
        <w:ind w:firstLine="422" w:firstLineChars="200"/>
        <w:rPr>
          <w:rFonts w:hAnsi="宋体" w:cs="宋体"/>
          <w:b/>
          <w:szCs w:val="21"/>
        </w:rPr>
      </w:pPr>
      <w:bookmarkStart w:id="54" w:name="_Toc19542"/>
      <w:bookmarkStart w:id="55" w:name="_Toc25319"/>
      <w:r>
        <w:rPr>
          <w:rFonts w:hint="eastAsia" w:hAnsi="宋体" w:cs="宋体"/>
          <w:b/>
          <w:szCs w:val="21"/>
        </w:rPr>
        <w:t>16、谈判响应文件的签署</w:t>
      </w:r>
    </w:p>
    <w:p>
      <w:pPr>
        <w:widowControl/>
        <w:spacing w:line="500" w:lineRule="exact"/>
        <w:ind w:firstLine="420" w:firstLineChars="200"/>
        <w:jc w:val="left"/>
        <w:rPr>
          <w:rFonts w:ascii="宋体" w:hAnsi="宋体" w:cs="宋体"/>
          <w:szCs w:val="21"/>
        </w:rPr>
      </w:pPr>
      <w:r>
        <w:rPr>
          <w:rFonts w:hint="eastAsia" w:ascii="宋体" w:hAnsi="宋体" w:cs="宋体"/>
          <w:szCs w:val="21"/>
        </w:rPr>
        <w:t>16.1、谈判响应人应按竞争性谈判文件约定的格式，编制并提交谈判响应文件。</w:t>
      </w:r>
    </w:p>
    <w:p>
      <w:pPr>
        <w:widowControl/>
        <w:spacing w:line="500" w:lineRule="exact"/>
        <w:ind w:firstLine="420" w:firstLineChars="200"/>
        <w:jc w:val="left"/>
        <w:rPr>
          <w:rFonts w:ascii="宋体" w:hAnsi="宋体" w:cs="宋体"/>
          <w:szCs w:val="21"/>
        </w:rPr>
      </w:pPr>
      <w:r>
        <w:rPr>
          <w:rFonts w:hint="eastAsia" w:ascii="宋体" w:hAnsi="宋体" w:cs="宋体"/>
          <w:szCs w:val="21"/>
        </w:rPr>
        <w:t>16.2、谈判响应文件应由谈判响应人的法定代表人或委托代理人签字或加盖印章，并加盖谈判响应人公章。</w:t>
      </w:r>
    </w:p>
    <w:p>
      <w:pPr>
        <w:widowControl/>
        <w:spacing w:line="500" w:lineRule="exact"/>
        <w:ind w:firstLine="420" w:firstLineChars="200"/>
        <w:jc w:val="left"/>
        <w:rPr>
          <w:rFonts w:ascii="宋体" w:hAnsi="宋体" w:cs="宋体"/>
          <w:szCs w:val="21"/>
        </w:rPr>
      </w:pPr>
      <w:r>
        <w:rPr>
          <w:rFonts w:hint="eastAsia" w:ascii="宋体" w:hAnsi="宋体" w:cs="宋体"/>
          <w:szCs w:val="21"/>
        </w:rPr>
        <w:t>16.3、谈判响应文件不得行间插字、涂改或增删。</w:t>
      </w:r>
    </w:p>
    <w:p>
      <w:pPr>
        <w:widowControl/>
        <w:spacing w:line="500" w:lineRule="exact"/>
        <w:ind w:firstLine="420" w:firstLineChars="200"/>
        <w:jc w:val="left"/>
        <w:rPr>
          <w:rFonts w:ascii="宋体" w:hAnsi="宋体" w:cs="宋体"/>
          <w:b/>
          <w:bCs/>
          <w:szCs w:val="21"/>
        </w:rPr>
      </w:pPr>
      <w:r>
        <w:rPr>
          <w:rFonts w:hint="eastAsia" w:ascii="宋体" w:hAnsi="宋体" w:cs="宋体"/>
          <w:szCs w:val="21"/>
        </w:rPr>
        <w:t>16.4、</w:t>
      </w:r>
      <w:r>
        <w:rPr>
          <w:rFonts w:hint="eastAsia" w:ascii="宋体" w:hAnsi="宋体" w:cs="宋体"/>
          <w:b/>
        </w:rPr>
        <w:t>谈判响应文件封面、谈判响应函、服务报价表（首轮）、最终报价表、服务内容及质量要求响应表均应加盖谈判响应人公章并经法定代表人加盖印章。由委托代理人参加谈判活动的在谈判响应文件中须同时提交法定代表人授权委托书。谈判响应文件封面、谈判响应函及服务报价表（首轮）、最终报价表、服务内容及质量要求响应表、法定代表人授权委托书的签字或盖章不符合谈判文件要求的，谈判小组可要求其法定代表人或其委托的委托代理人补齐签字或承诺在签订合同前按照谈判文件要求加盖印章</w:t>
      </w:r>
      <w:r>
        <w:rPr>
          <w:rFonts w:hint="eastAsia" w:ascii="宋体" w:hAnsi="宋体" w:cs="宋体"/>
          <w:b/>
          <w:spacing w:val="-2"/>
        </w:rPr>
        <w:t>。</w:t>
      </w:r>
    </w:p>
    <w:p>
      <w:pPr>
        <w:pStyle w:val="6"/>
        <w:numPr>
          <w:ilvl w:val="0"/>
          <w:numId w:val="3"/>
        </w:numPr>
        <w:ind w:firstLine="472" w:firstLineChars="196"/>
        <w:rPr>
          <w:rFonts w:hAnsi="宋体" w:cs="宋体"/>
          <w:color w:val="000000"/>
        </w:rPr>
      </w:pPr>
      <w:r>
        <w:rPr>
          <w:rFonts w:hint="eastAsia" w:hAnsi="宋体" w:cs="宋体"/>
          <w:color w:val="000000"/>
        </w:rPr>
        <w:t>谈判响应文件的提交</w:t>
      </w:r>
      <w:bookmarkEnd w:id="54"/>
      <w:bookmarkEnd w:id="55"/>
    </w:p>
    <w:p>
      <w:pPr>
        <w:spacing w:line="360" w:lineRule="auto"/>
        <w:ind w:firstLine="422" w:firstLineChars="200"/>
        <w:rPr>
          <w:rFonts w:ascii="宋体" w:hAnsi="宋体" w:cs="宋体"/>
          <w:b/>
          <w:bCs/>
          <w:szCs w:val="21"/>
        </w:rPr>
      </w:pPr>
      <w:r>
        <w:rPr>
          <w:rFonts w:hint="eastAsia" w:ascii="宋体" w:hAnsi="宋体" w:cs="宋体"/>
          <w:b/>
          <w:bCs/>
          <w:szCs w:val="21"/>
        </w:rPr>
        <w:t>17、谈判响应文件的的装订、密封和标记</w:t>
      </w:r>
    </w:p>
    <w:p>
      <w:pPr>
        <w:spacing w:line="360" w:lineRule="auto"/>
        <w:ind w:firstLine="420" w:firstLineChars="200"/>
        <w:rPr>
          <w:rFonts w:ascii="宋体" w:hAnsi="宋体" w:cs="宋体"/>
          <w:szCs w:val="21"/>
        </w:rPr>
      </w:pPr>
      <w:r>
        <w:rPr>
          <w:rFonts w:hint="eastAsia" w:ascii="宋体" w:hAnsi="宋体" w:cs="宋体"/>
          <w:szCs w:val="21"/>
        </w:rPr>
        <w:t>17.1、响应文件需装订并编码，不得采用活页装订。</w:t>
      </w:r>
    </w:p>
    <w:p>
      <w:pPr>
        <w:spacing w:line="360" w:lineRule="auto"/>
        <w:ind w:firstLine="420" w:firstLineChars="200"/>
        <w:rPr>
          <w:rFonts w:ascii="宋体" w:hAnsi="宋体" w:cs="宋体"/>
          <w:szCs w:val="21"/>
        </w:rPr>
      </w:pPr>
      <w:r>
        <w:rPr>
          <w:rFonts w:hint="eastAsia" w:ascii="宋体" w:hAnsi="宋体" w:cs="宋体"/>
          <w:szCs w:val="21"/>
        </w:rPr>
        <w:t>17.2、供应商应将响应文件的正本、副本同时密封于一个文件袋内。包装密封，并在封袋的封口处加盖单位公章。</w:t>
      </w:r>
    </w:p>
    <w:p>
      <w:pPr>
        <w:spacing w:line="360" w:lineRule="auto"/>
        <w:ind w:firstLine="422" w:firstLineChars="200"/>
        <w:rPr>
          <w:rFonts w:ascii="宋体" w:hAnsi="宋体" w:cs="宋体"/>
          <w:b/>
          <w:bCs/>
          <w:szCs w:val="21"/>
        </w:rPr>
      </w:pPr>
      <w:r>
        <w:rPr>
          <w:rFonts w:hint="eastAsia" w:ascii="宋体" w:hAnsi="宋体" w:cs="宋体"/>
          <w:b/>
          <w:bCs/>
          <w:szCs w:val="21"/>
        </w:rPr>
        <w:t>17.3、密封袋上应写明：</w:t>
      </w:r>
    </w:p>
    <w:p>
      <w:pPr>
        <w:spacing w:line="360" w:lineRule="auto"/>
        <w:ind w:firstLine="422" w:firstLineChars="200"/>
        <w:rPr>
          <w:rFonts w:ascii="宋体" w:hAnsi="宋体" w:cs="宋体"/>
          <w:b/>
          <w:bCs/>
          <w:szCs w:val="21"/>
        </w:rPr>
      </w:pPr>
      <w:r>
        <w:rPr>
          <w:rFonts w:hint="eastAsia" w:ascii="宋体" w:hAnsi="宋体" w:cs="宋体"/>
          <w:b/>
          <w:bCs/>
          <w:szCs w:val="21"/>
        </w:rPr>
        <w:t>项目名称：</w:t>
      </w:r>
    </w:p>
    <w:p>
      <w:pPr>
        <w:spacing w:line="360" w:lineRule="auto"/>
        <w:ind w:firstLine="422" w:firstLineChars="200"/>
        <w:rPr>
          <w:rFonts w:ascii="宋体" w:hAnsi="宋体" w:cs="宋体"/>
          <w:b/>
          <w:bCs/>
          <w:szCs w:val="21"/>
        </w:rPr>
      </w:pPr>
      <w:r>
        <w:rPr>
          <w:rFonts w:hint="eastAsia" w:ascii="宋体" w:hAnsi="宋体" w:cs="宋体"/>
          <w:b/>
          <w:bCs/>
          <w:szCs w:val="21"/>
        </w:rPr>
        <w:t>采购人名称：</w:t>
      </w:r>
    </w:p>
    <w:p>
      <w:pPr>
        <w:spacing w:line="360" w:lineRule="auto"/>
        <w:ind w:firstLine="422" w:firstLineChars="200"/>
        <w:rPr>
          <w:rFonts w:ascii="宋体" w:hAnsi="宋体" w:cs="宋体"/>
          <w:b/>
          <w:bCs/>
          <w:szCs w:val="21"/>
        </w:rPr>
      </w:pPr>
      <w:r>
        <w:rPr>
          <w:rFonts w:hint="eastAsia" w:ascii="宋体" w:hAnsi="宋体" w:cs="宋体"/>
          <w:b/>
          <w:bCs/>
          <w:szCs w:val="21"/>
        </w:rPr>
        <w:t>谈判响应人名称（加盖谈判响应人公章）。</w:t>
      </w:r>
    </w:p>
    <w:p>
      <w:pPr>
        <w:spacing w:line="360" w:lineRule="auto"/>
        <w:ind w:firstLine="422" w:firstLineChars="200"/>
        <w:rPr>
          <w:rFonts w:ascii="宋体" w:hAnsi="宋体" w:cs="宋体"/>
          <w:b/>
          <w:bCs/>
          <w:szCs w:val="21"/>
        </w:rPr>
      </w:pPr>
      <w:r>
        <w:rPr>
          <w:rFonts w:hint="eastAsia" w:ascii="宋体" w:hAnsi="宋体" w:cs="宋体"/>
          <w:b/>
          <w:bCs/>
          <w:szCs w:val="21"/>
        </w:rPr>
        <w:t>17.4、未按上述要求装订、密封和标记的响应文件，将不被接受。</w:t>
      </w:r>
    </w:p>
    <w:p>
      <w:pPr>
        <w:spacing w:line="360" w:lineRule="auto"/>
        <w:ind w:firstLine="422" w:firstLineChars="200"/>
        <w:rPr>
          <w:rFonts w:ascii="宋体" w:hAnsi="宋体" w:cs="宋体"/>
          <w:b/>
          <w:szCs w:val="21"/>
        </w:rPr>
      </w:pPr>
      <w:r>
        <w:rPr>
          <w:rFonts w:hint="eastAsia" w:ascii="宋体" w:hAnsi="宋体" w:cs="宋体"/>
          <w:b/>
          <w:szCs w:val="21"/>
        </w:rPr>
        <w:t>18、谈判响应截止时间</w:t>
      </w:r>
    </w:p>
    <w:p>
      <w:pPr>
        <w:widowControl/>
        <w:spacing w:line="500" w:lineRule="exact"/>
        <w:ind w:firstLine="420" w:firstLineChars="200"/>
        <w:jc w:val="left"/>
        <w:rPr>
          <w:rFonts w:ascii="宋体" w:hAnsi="宋体" w:cs="宋体"/>
          <w:szCs w:val="21"/>
        </w:rPr>
      </w:pPr>
      <w:r>
        <w:rPr>
          <w:rFonts w:hint="eastAsia" w:ascii="宋体" w:hAnsi="宋体" w:cs="宋体"/>
          <w:szCs w:val="21"/>
        </w:rPr>
        <w:t>18.1、谈判响应人应在谈判响应人须知前附表中约定的提交响应文件截止时间前将谈判响应文件提交至指定地点。逾期送达或者未按要求送达指定地点的谈判响应文件，采购单位不予受理。</w:t>
      </w:r>
    </w:p>
    <w:p>
      <w:pPr>
        <w:widowControl/>
        <w:spacing w:line="500" w:lineRule="exact"/>
        <w:ind w:firstLine="420" w:firstLineChars="200"/>
        <w:jc w:val="left"/>
        <w:rPr>
          <w:rFonts w:ascii="宋体" w:hAnsi="宋体" w:cs="宋体"/>
          <w:b/>
          <w:szCs w:val="21"/>
        </w:rPr>
      </w:pPr>
      <w:r>
        <w:rPr>
          <w:rFonts w:hint="eastAsia" w:ascii="宋体" w:hAnsi="宋体" w:cs="宋体"/>
          <w:szCs w:val="21"/>
        </w:rPr>
        <w:t>18.2、采购人有权按本须知的约定，通过修改竞争性谈判文件相关条款以延长提交响应文件截止时间。在此情况下，采购人和谈判响应人受提交响应文件截止时间制约的所有权利和义务均应延长至新的提交响应文件截止时间。</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19、谈判响应文件的修改与撤回</w:t>
      </w:r>
    </w:p>
    <w:p>
      <w:pPr>
        <w:widowControl/>
        <w:spacing w:line="500" w:lineRule="exact"/>
        <w:ind w:firstLine="420" w:firstLineChars="200"/>
        <w:jc w:val="left"/>
        <w:rPr>
          <w:rFonts w:ascii="宋体" w:hAnsi="宋体" w:cs="宋体"/>
          <w:szCs w:val="21"/>
        </w:rPr>
      </w:pPr>
      <w:bookmarkStart w:id="56" w:name="_Toc23598"/>
      <w:bookmarkStart w:id="57" w:name="_Toc32696"/>
      <w:r>
        <w:rPr>
          <w:rFonts w:hint="eastAsia" w:ascii="宋体" w:hAnsi="宋体" w:cs="宋体"/>
          <w:szCs w:val="21"/>
        </w:rPr>
        <w:t>19.1、供应商在提交响应文件以后，在规定的响应文件截止时间之前，可以以书面形式补充、修改或撤回已提交的响应文件，并以书面形式通知采购人。补充、修改的内容为响应文件的组成部分。</w:t>
      </w:r>
    </w:p>
    <w:p>
      <w:pPr>
        <w:widowControl/>
        <w:spacing w:line="500" w:lineRule="exact"/>
        <w:ind w:firstLine="420" w:firstLineChars="200"/>
        <w:jc w:val="left"/>
        <w:rPr>
          <w:rFonts w:ascii="宋体" w:hAnsi="宋体" w:cs="宋体"/>
          <w:szCs w:val="21"/>
        </w:rPr>
      </w:pPr>
      <w:r>
        <w:rPr>
          <w:rFonts w:hint="eastAsia" w:ascii="宋体" w:hAnsi="宋体" w:cs="宋体"/>
          <w:szCs w:val="21"/>
        </w:rPr>
        <w:t>19.2、供应商对投标文件的补充、修改或撤回通知，应按须知17条有关规定密封、标记和提交，并在响应文件密封袋上清楚标明“补充、修改”或“撤回”字样。否则，补充、修改或撤回通知无效。</w:t>
      </w:r>
    </w:p>
    <w:p>
      <w:pPr>
        <w:widowControl/>
        <w:spacing w:line="500" w:lineRule="exact"/>
        <w:ind w:firstLine="420" w:firstLineChars="200"/>
        <w:jc w:val="left"/>
        <w:rPr>
          <w:rFonts w:ascii="宋体" w:hAnsi="宋体" w:cs="宋体"/>
          <w:szCs w:val="21"/>
        </w:rPr>
      </w:pPr>
      <w:r>
        <w:rPr>
          <w:rFonts w:hint="eastAsia" w:ascii="宋体" w:hAnsi="宋体" w:cs="宋体"/>
          <w:szCs w:val="21"/>
        </w:rPr>
        <w:t>19.3、在规定的响应文件截止时间之后，供应商不得补充、修改投标文件。</w:t>
      </w:r>
    </w:p>
    <w:p>
      <w:pPr>
        <w:pStyle w:val="6"/>
        <w:ind w:firstLine="472" w:firstLineChars="196"/>
        <w:rPr>
          <w:rFonts w:hAnsi="宋体" w:cs="宋体"/>
          <w:color w:val="000000"/>
        </w:rPr>
      </w:pPr>
      <w:r>
        <w:rPr>
          <w:rFonts w:hint="eastAsia" w:hAnsi="宋体" w:cs="宋体"/>
          <w:color w:val="000000"/>
        </w:rPr>
        <w:t>五、</w:t>
      </w:r>
      <w:bookmarkEnd w:id="56"/>
      <w:r>
        <w:rPr>
          <w:rFonts w:hint="eastAsia" w:hAnsi="宋体" w:cs="宋体"/>
          <w:color w:val="000000"/>
        </w:rPr>
        <w:t>谈判程序</w:t>
      </w:r>
      <w:bookmarkEnd w:id="57"/>
    </w:p>
    <w:p>
      <w:pPr>
        <w:widowControl/>
        <w:spacing w:line="500" w:lineRule="exact"/>
        <w:ind w:firstLine="422" w:firstLineChars="200"/>
        <w:jc w:val="left"/>
        <w:rPr>
          <w:rFonts w:ascii="宋体" w:hAnsi="宋体" w:cs="宋体"/>
          <w:szCs w:val="21"/>
        </w:rPr>
      </w:pPr>
      <w:bookmarkStart w:id="58" w:name="_Toc28310"/>
      <w:bookmarkStart w:id="59" w:name="_Toc4803"/>
      <w:r>
        <w:rPr>
          <w:rFonts w:hint="eastAsia" w:ascii="宋体" w:hAnsi="宋体" w:cs="宋体"/>
          <w:b/>
          <w:bCs/>
          <w:szCs w:val="21"/>
        </w:rPr>
        <w:t>20、谈判时间和地点：</w:t>
      </w:r>
      <w:r>
        <w:rPr>
          <w:rFonts w:hint="eastAsia" w:ascii="宋体" w:hAnsi="宋体" w:cs="宋体"/>
          <w:szCs w:val="21"/>
        </w:rPr>
        <w:t>采购单位将在“谈判响应人须知前附表”约定的时间和地点谈判，并邀请监督人员、所有谈判响应人的法定代表人或委托代理人按时参加。</w:t>
      </w:r>
    </w:p>
    <w:p>
      <w:pPr>
        <w:widowControl/>
        <w:spacing w:line="500" w:lineRule="exact"/>
        <w:ind w:firstLine="422" w:firstLineChars="200"/>
        <w:jc w:val="left"/>
        <w:rPr>
          <w:rFonts w:ascii="宋体" w:hAnsi="宋体" w:cs="宋体"/>
          <w:szCs w:val="21"/>
        </w:rPr>
      </w:pPr>
      <w:r>
        <w:rPr>
          <w:rFonts w:hint="eastAsia" w:ascii="宋体" w:hAnsi="宋体" w:cs="宋体"/>
          <w:b/>
          <w:bCs/>
          <w:szCs w:val="21"/>
        </w:rPr>
        <w:t>21、谈判程序</w:t>
      </w:r>
    </w:p>
    <w:p>
      <w:pPr>
        <w:widowControl/>
        <w:spacing w:line="500" w:lineRule="exact"/>
        <w:ind w:firstLine="420" w:firstLineChars="200"/>
        <w:jc w:val="left"/>
        <w:rPr>
          <w:rFonts w:ascii="宋体" w:hAnsi="宋体" w:cs="宋体"/>
          <w:szCs w:val="21"/>
        </w:rPr>
      </w:pPr>
      <w:r>
        <w:rPr>
          <w:rFonts w:hint="eastAsia" w:ascii="宋体" w:hAnsi="宋体" w:cs="宋体"/>
          <w:szCs w:val="21"/>
        </w:rPr>
        <w:t>21.1、谈判由采购单位代表主持，主持人按下列程序进行：</w:t>
      </w:r>
    </w:p>
    <w:p>
      <w:pPr>
        <w:widowControl/>
        <w:spacing w:line="500" w:lineRule="exact"/>
        <w:ind w:firstLine="420" w:firstLineChars="200"/>
        <w:jc w:val="left"/>
        <w:rPr>
          <w:rFonts w:ascii="宋体" w:hAnsi="宋体" w:cs="宋体"/>
          <w:szCs w:val="21"/>
        </w:rPr>
      </w:pPr>
      <w:r>
        <w:rPr>
          <w:rFonts w:hint="eastAsia" w:ascii="宋体" w:hAnsi="宋体" w:cs="宋体"/>
          <w:szCs w:val="21"/>
        </w:rPr>
        <w:t>21.1.1、宣布项目名称、介绍参会人员；</w:t>
      </w:r>
    </w:p>
    <w:p>
      <w:pPr>
        <w:widowControl/>
        <w:spacing w:line="500" w:lineRule="exact"/>
        <w:ind w:firstLine="420" w:firstLineChars="200"/>
        <w:jc w:val="left"/>
        <w:rPr>
          <w:rFonts w:ascii="宋体" w:hAnsi="宋体" w:cs="宋体"/>
          <w:szCs w:val="21"/>
        </w:rPr>
      </w:pPr>
      <w:r>
        <w:rPr>
          <w:rFonts w:hint="eastAsia" w:ascii="宋体" w:hAnsi="宋体" w:cs="宋体"/>
          <w:szCs w:val="21"/>
        </w:rPr>
        <w:t>21.1.2、宣布开标纪律；</w:t>
      </w:r>
    </w:p>
    <w:p>
      <w:pPr>
        <w:widowControl/>
        <w:spacing w:line="500" w:lineRule="exact"/>
        <w:ind w:firstLine="420" w:firstLineChars="200"/>
        <w:jc w:val="left"/>
        <w:rPr>
          <w:rFonts w:ascii="宋体" w:hAnsi="宋体" w:cs="宋体"/>
          <w:szCs w:val="21"/>
        </w:rPr>
      </w:pPr>
      <w:r>
        <w:rPr>
          <w:rFonts w:hint="eastAsia" w:ascii="宋体" w:hAnsi="宋体" w:cs="宋体"/>
          <w:szCs w:val="21"/>
        </w:rPr>
        <w:t xml:space="preserve">21.1.3、由采购人代表查验谈判响应人相关证件资料并检查谈判响应文件的密封情况； </w:t>
      </w:r>
    </w:p>
    <w:p>
      <w:pPr>
        <w:widowControl/>
        <w:spacing w:line="500" w:lineRule="exact"/>
        <w:ind w:firstLine="420" w:firstLineChars="200"/>
        <w:jc w:val="left"/>
        <w:rPr>
          <w:rFonts w:ascii="宋体" w:hAnsi="宋体" w:cs="宋体"/>
          <w:szCs w:val="21"/>
        </w:rPr>
      </w:pPr>
      <w:r>
        <w:rPr>
          <w:rFonts w:hint="eastAsia" w:ascii="宋体" w:hAnsi="宋体" w:cs="宋体"/>
          <w:szCs w:val="21"/>
        </w:rPr>
        <w:t>21.1.4、现场开启响应文件；</w:t>
      </w:r>
    </w:p>
    <w:p>
      <w:pPr>
        <w:widowControl/>
        <w:spacing w:line="500" w:lineRule="exact"/>
        <w:ind w:firstLine="420" w:firstLineChars="200"/>
        <w:jc w:val="left"/>
        <w:rPr>
          <w:rFonts w:ascii="宋体" w:hAnsi="宋体" w:cs="宋体"/>
          <w:szCs w:val="21"/>
        </w:rPr>
      </w:pPr>
      <w:r>
        <w:rPr>
          <w:rFonts w:hint="eastAsia" w:ascii="宋体" w:hAnsi="宋体" w:cs="宋体"/>
          <w:szCs w:val="21"/>
        </w:rPr>
        <w:t>21.1.5、采购人代表、记录人等有关人员在开标记录表上签字确认；</w:t>
      </w:r>
    </w:p>
    <w:p>
      <w:pPr>
        <w:widowControl/>
        <w:spacing w:line="500" w:lineRule="exact"/>
        <w:ind w:firstLine="420" w:firstLineChars="200"/>
        <w:jc w:val="left"/>
        <w:rPr>
          <w:rFonts w:ascii="宋体" w:hAnsi="宋体" w:cs="宋体"/>
          <w:szCs w:val="21"/>
        </w:rPr>
      </w:pPr>
      <w:r>
        <w:rPr>
          <w:rFonts w:hint="eastAsia" w:ascii="宋体" w:hAnsi="宋体" w:cs="宋体"/>
          <w:szCs w:val="21"/>
        </w:rPr>
        <w:t>21.1.6、暂时休会，进入评审阶段；</w:t>
      </w:r>
    </w:p>
    <w:p>
      <w:pPr>
        <w:widowControl/>
        <w:spacing w:line="500" w:lineRule="exact"/>
        <w:ind w:firstLine="420" w:firstLineChars="200"/>
        <w:jc w:val="left"/>
        <w:rPr>
          <w:rFonts w:ascii="宋体" w:hAnsi="宋体" w:cs="宋体"/>
          <w:szCs w:val="21"/>
        </w:rPr>
      </w:pPr>
      <w:r>
        <w:rPr>
          <w:rFonts w:hint="eastAsia" w:ascii="宋体" w:hAnsi="宋体" w:cs="宋体"/>
          <w:szCs w:val="21"/>
        </w:rPr>
        <w:t>21.1.7、谈判小组与各个谈判响应人进行谈判；</w:t>
      </w:r>
    </w:p>
    <w:p>
      <w:pPr>
        <w:widowControl/>
        <w:spacing w:line="500" w:lineRule="exact"/>
        <w:ind w:firstLine="420" w:firstLineChars="200"/>
        <w:jc w:val="left"/>
        <w:rPr>
          <w:rFonts w:ascii="宋体" w:hAnsi="宋体" w:cs="宋体"/>
          <w:szCs w:val="21"/>
        </w:rPr>
      </w:pPr>
      <w:r>
        <w:rPr>
          <w:rFonts w:hint="eastAsia" w:ascii="宋体" w:hAnsi="宋体" w:cs="宋体"/>
          <w:szCs w:val="21"/>
        </w:rPr>
        <w:t>21.1.8、各个谈判响应人进行最终报价；</w:t>
      </w:r>
    </w:p>
    <w:p>
      <w:pPr>
        <w:widowControl/>
        <w:spacing w:line="500" w:lineRule="exact"/>
        <w:ind w:firstLine="420" w:firstLineChars="200"/>
        <w:jc w:val="left"/>
        <w:rPr>
          <w:rFonts w:ascii="宋体" w:hAnsi="宋体" w:cs="宋体"/>
          <w:szCs w:val="21"/>
        </w:rPr>
      </w:pPr>
      <w:r>
        <w:rPr>
          <w:rFonts w:hint="eastAsia" w:ascii="宋体" w:hAnsi="宋体" w:cs="宋体"/>
          <w:szCs w:val="21"/>
        </w:rPr>
        <w:t>21.1.9、复会，宣布评审结果。</w:t>
      </w:r>
    </w:p>
    <w:p>
      <w:pPr>
        <w:widowControl/>
        <w:spacing w:line="500" w:lineRule="exact"/>
        <w:ind w:firstLine="422" w:firstLineChars="200"/>
        <w:jc w:val="left"/>
        <w:rPr>
          <w:rFonts w:ascii="宋体" w:hAnsi="宋体" w:cs="宋体"/>
          <w:b/>
          <w:bCs/>
          <w:szCs w:val="21"/>
        </w:rPr>
      </w:pPr>
      <w:r>
        <w:rPr>
          <w:rFonts w:hint="eastAsia" w:ascii="宋体" w:hAnsi="宋体" w:cs="宋体"/>
          <w:b/>
          <w:bCs/>
          <w:szCs w:val="21"/>
        </w:rPr>
        <w:t>21.2、查验证件</w:t>
      </w:r>
    </w:p>
    <w:p>
      <w:pPr>
        <w:widowControl/>
        <w:spacing w:line="500" w:lineRule="exact"/>
        <w:ind w:firstLine="420" w:firstLineChars="200"/>
        <w:jc w:val="left"/>
        <w:rPr>
          <w:rFonts w:ascii="宋体" w:hAnsi="宋体" w:cs="宋体"/>
          <w:szCs w:val="21"/>
        </w:rPr>
      </w:pPr>
      <w:r>
        <w:rPr>
          <w:rFonts w:hint="eastAsia" w:ascii="宋体" w:hAnsi="宋体" w:cs="宋体"/>
          <w:szCs w:val="21"/>
        </w:rPr>
        <w:t>21.2.1、采购人审查谈判响应人以下证件，</w:t>
      </w:r>
      <w:r>
        <w:rPr>
          <w:rFonts w:hint="eastAsia" w:ascii="宋体" w:hAnsi="宋体"/>
          <w:szCs w:val="21"/>
        </w:rPr>
        <w:t>若证件不全或不符合要求，则查验不合格,由谈判小组认定其谈判响应无效。</w:t>
      </w:r>
    </w:p>
    <w:p>
      <w:pPr>
        <w:widowControl/>
        <w:spacing w:line="500" w:lineRule="exact"/>
        <w:ind w:firstLine="422" w:firstLineChars="200"/>
        <w:jc w:val="left"/>
        <w:rPr>
          <w:rFonts w:ascii="宋体" w:hAnsi="宋体"/>
          <w:b/>
          <w:szCs w:val="21"/>
        </w:rPr>
      </w:pPr>
      <w:r>
        <w:rPr>
          <w:rFonts w:hint="eastAsia" w:ascii="宋体" w:hAnsi="宋体"/>
          <w:b/>
          <w:szCs w:val="21"/>
        </w:rPr>
        <w:t xml:space="preserve">法定代表人应出示有效二代居民身份证、营业执照复印件或委托代理人应出示授权书；（授权书格式见附件）  </w:t>
      </w:r>
    </w:p>
    <w:p>
      <w:pPr>
        <w:widowControl/>
        <w:spacing w:line="500" w:lineRule="exact"/>
        <w:ind w:firstLine="420" w:firstLineChars="200"/>
        <w:jc w:val="left"/>
        <w:rPr>
          <w:rFonts w:ascii="宋体" w:hAnsi="宋体" w:cs="宋体"/>
          <w:szCs w:val="21"/>
        </w:rPr>
      </w:pPr>
      <w:r>
        <w:rPr>
          <w:rFonts w:hint="eastAsia" w:ascii="宋体" w:hAnsi="宋体" w:cs="宋体"/>
          <w:szCs w:val="21"/>
        </w:rPr>
        <w:t>21.2、谈判响应人必须对其谈判响应文件中所有资料的真实性负责。若发现谈判响应人有弄虚作假行为的，由相关管理部门按照竞争性谈判文件相应条款对其做相应处罚。</w:t>
      </w:r>
    </w:p>
    <w:p>
      <w:pPr>
        <w:widowControl/>
        <w:spacing w:line="360" w:lineRule="auto"/>
        <w:ind w:firstLine="422" w:firstLineChars="200"/>
        <w:jc w:val="left"/>
        <w:rPr>
          <w:rFonts w:ascii="宋体" w:hAnsi="宋体" w:cs="宋体"/>
          <w:szCs w:val="21"/>
        </w:rPr>
      </w:pPr>
      <w:r>
        <w:rPr>
          <w:rFonts w:hint="eastAsia" w:ascii="宋体" w:hAnsi="宋体" w:cs="宋体"/>
          <w:b/>
          <w:bCs/>
          <w:szCs w:val="21"/>
        </w:rPr>
        <w:t>22、谈判响应文件的有效性</w:t>
      </w:r>
    </w:p>
    <w:p>
      <w:pPr>
        <w:widowControl/>
        <w:spacing w:line="360" w:lineRule="auto"/>
        <w:ind w:firstLine="420" w:firstLineChars="200"/>
        <w:jc w:val="left"/>
        <w:rPr>
          <w:rFonts w:ascii="宋体" w:hAnsi="宋体" w:cs="宋体"/>
          <w:szCs w:val="21"/>
        </w:rPr>
      </w:pPr>
      <w:r>
        <w:rPr>
          <w:rFonts w:hint="eastAsia" w:ascii="宋体" w:hAnsi="宋体" w:cs="宋体"/>
          <w:szCs w:val="21"/>
        </w:rPr>
        <w:t xml:space="preserve">22.1、谈判响应文件有下列情形之一的，将不予受理： </w:t>
      </w:r>
    </w:p>
    <w:p>
      <w:pPr>
        <w:widowControl/>
        <w:spacing w:line="360" w:lineRule="auto"/>
        <w:ind w:firstLine="420" w:firstLineChars="200"/>
        <w:jc w:val="left"/>
        <w:rPr>
          <w:rFonts w:ascii="宋体" w:hAnsi="宋体" w:cs="宋体"/>
          <w:szCs w:val="21"/>
        </w:rPr>
      </w:pPr>
      <w:r>
        <w:rPr>
          <w:rFonts w:hint="eastAsia" w:ascii="宋体" w:hAnsi="宋体" w:cs="宋体"/>
          <w:szCs w:val="21"/>
        </w:rPr>
        <w:t xml:space="preserve">（1）逾期送达的或者未送达至指定地点的； </w:t>
      </w:r>
    </w:p>
    <w:p>
      <w:pPr>
        <w:widowControl/>
        <w:spacing w:line="360" w:lineRule="auto"/>
        <w:ind w:firstLine="420" w:firstLineChars="200"/>
        <w:jc w:val="left"/>
        <w:rPr>
          <w:rFonts w:ascii="宋体" w:hAnsi="宋体" w:cs="宋体"/>
          <w:szCs w:val="21"/>
        </w:rPr>
      </w:pPr>
      <w:r>
        <w:rPr>
          <w:rFonts w:hint="eastAsia" w:ascii="宋体" w:hAnsi="宋体" w:cs="宋体"/>
          <w:szCs w:val="21"/>
        </w:rPr>
        <w:t>（2）未按竞争性谈判文件要求包装、密封的。</w:t>
      </w:r>
    </w:p>
    <w:p>
      <w:pPr>
        <w:widowControl/>
        <w:spacing w:line="360" w:lineRule="auto"/>
        <w:ind w:firstLine="420" w:firstLineChars="200"/>
        <w:jc w:val="left"/>
        <w:rPr>
          <w:rFonts w:ascii="宋体" w:hAnsi="宋体" w:cs="宋体"/>
          <w:szCs w:val="21"/>
        </w:rPr>
      </w:pPr>
      <w:r>
        <w:rPr>
          <w:rFonts w:hint="eastAsia" w:ascii="宋体" w:hAnsi="宋体" w:cs="宋体"/>
          <w:szCs w:val="21"/>
        </w:rPr>
        <w:t>22.2、开标过程中发现有下列情况的，由谈判小组评审后，认定为谈判响应无效：</w:t>
      </w:r>
    </w:p>
    <w:p>
      <w:pPr>
        <w:widowControl/>
        <w:spacing w:line="360" w:lineRule="auto"/>
        <w:ind w:firstLine="420" w:firstLineChars="200"/>
        <w:jc w:val="left"/>
        <w:rPr>
          <w:rFonts w:ascii="宋体" w:hAnsi="宋体" w:cs="宋体"/>
          <w:szCs w:val="21"/>
        </w:rPr>
      </w:pPr>
      <w:r>
        <w:rPr>
          <w:rFonts w:hint="eastAsia" w:ascii="宋体" w:hAnsi="宋体" w:cs="宋体"/>
          <w:szCs w:val="21"/>
        </w:rPr>
        <w:t>22.2.1、谈判响应人未按要求参加开标会、未按要求出示材料供现场查验或经查验不合格的；</w:t>
      </w:r>
    </w:p>
    <w:p>
      <w:pPr>
        <w:spacing w:line="360" w:lineRule="auto"/>
        <w:ind w:firstLine="420" w:firstLineChars="200"/>
        <w:rPr>
          <w:rFonts w:ascii="宋体" w:hAnsi="宋体" w:cs="宋体"/>
          <w:szCs w:val="21"/>
        </w:rPr>
      </w:pPr>
      <w:r>
        <w:rPr>
          <w:rFonts w:hint="eastAsia" w:ascii="宋体" w:hAnsi="宋体" w:cs="宋体"/>
          <w:szCs w:val="21"/>
        </w:rPr>
        <w:t>22.2.2、</w:t>
      </w:r>
      <w:r>
        <w:rPr>
          <w:rFonts w:hint="eastAsia" w:ascii="宋体" w:hAnsi="宋体" w:cs="宋体"/>
        </w:rPr>
        <w:t>谈判响应文件封面、谈判响应函、</w:t>
      </w:r>
      <w:r>
        <w:rPr>
          <w:rFonts w:hint="eastAsia" w:ascii="宋体" w:hAnsi="宋体" w:cs="宋体"/>
          <w:lang w:val="en-US" w:eastAsia="zh-CN"/>
        </w:rPr>
        <w:t>服务</w:t>
      </w:r>
      <w:r>
        <w:rPr>
          <w:rFonts w:hint="eastAsia" w:ascii="宋体" w:hAnsi="宋体" w:cs="宋体"/>
        </w:rPr>
        <w:t>报价表（首轮）、最终报价表、技术参数响应表不符合谈判文件要求拒绝补齐签字或拒绝承诺在合同签订前加盖印章的</w:t>
      </w:r>
      <w:r>
        <w:rPr>
          <w:rFonts w:hint="eastAsia" w:ascii="宋体" w:hAnsi="宋体" w:cs="宋体"/>
          <w:szCs w:val="21"/>
        </w:rPr>
        <w:t xml:space="preserve">； </w:t>
      </w:r>
    </w:p>
    <w:p>
      <w:pPr>
        <w:widowControl/>
        <w:spacing w:line="360" w:lineRule="auto"/>
        <w:ind w:firstLine="420" w:firstLineChars="200"/>
        <w:jc w:val="left"/>
        <w:rPr>
          <w:rFonts w:ascii="宋体" w:hAnsi="宋体" w:cs="宋体"/>
          <w:szCs w:val="21"/>
        </w:rPr>
      </w:pPr>
      <w:r>
        <w:rPr>
          <w:rFonts w:hint="eastAsia" w:ascii="宋体" w:hAnsi="宋体" w:cs="宋体"/>
          <w:szCs w:val="21"/>
        </w:rPr>
        <w:t>22.2.3、谈判响应报价高于谈判最高限价的；</w:t>
      </w:r>
    </w:p>
    <w:p>
      <w:pPr>
        <w:widowControl/>
        <w:spacing w:line="360" w:lineRule="auto"/>
        <w:ind w:firstLine="420" w:firstLineChars="200"/>
        <w:jc w:val="left"/>
        <w:rPr>
          <w:rFonts w:ascii="宋体" w:hAnsi="宋体" w:cs="宋体"/>
          <w:szCs w:val="21"/>
        </w:rPr>
      </w:pPr>
      <w:r>
        <w:rPr>
          <w:rFonts w:hint="eastAsia" w:ascii="宋体" w:hAnsi="宋体" w:cs="宋体"/>
          <w:szCs w:val="21"/>
        </w:rPr>
        <w:t>22.2.4、法律、法规及竞争性谈判文件约定的其它情形。</w:t>
      </w:r>
    </w:p>
    <w:p>
      <w:pPr>
        <w:widowControl/>
        <w:spacing w:line="360" w:lineRule="auto"/>
        <w:ind w:firstLine="420" w:firstLineChars="200"/>
        <w:jc w:val="left"/>
        <w:rPr>
          <w:rFonts w:ascii="宋体" w:hAnsi="宋体" w:cs="宋体"/>
          <w:szCs w:val="21"/>
        </w:rPr>
      </w:pPr>
      <w:r>
        <w:rPr>
          <w:rFonts w:hint="eastAsia" w:ascii="宋体" w:hAnsi="宋体" w:cs="宋体"/>
          <w:szCs w:val="21"/>
        </w:rPr>
        <w:t>22.3、谈判响应人存在下列情形之一，经谈判小组评审后，认定为谈判响应无效：</w:t>
      </w:r>
    </w:p>
    <w:p>
      <w:pPr>
        <w:widowControl/>
        <w:spacing w:line="360" w:lineRule="auto"/>
        <w:jc w:val="left"/>
        <w:rPr>
          <w:rFonts w:ascii="宋体" w:hAnsi="宋体" w:cs="宋体"/>
          <w:szCs w:val="21"/>
        </w:rPr>
      </w:pPr>
      <w:r>
        <w:rPr>
          <w:rFonts w:hint="eastAsia" w:ascii="宋体" w:hAnsi="宋体" w:cs="宋体"/>
          <w:szCs w:val="21"/>
        </w:rPr>
        <w:t xml:space="preserve">    (1)被责令停业且处于有效期内的；</w:t>
      </w:r>
    </w:p>
    <w:p>
      <w:pPr>
        <w:widowControl/>
        <w:spacing w:line="360" w:lineRule="auto"/>
        <w:jc w:val="left"/>
        <w:rPr>
          <w:rFonts w:ascii="宋体" w:hAnsi="宋体" w:cs="宋体"/>
          <w:szCs w:val="21"/>
        </w:rPr>
      </w:pPr>
      <w:r>
        <w:rPr>
          <w:rFonts w:hint="eastAsia" w:ascii="宋体" w:hAnsi="宋体" w:cs="宋体"/>
          <w:szCs w:val="21"/>
        </w:rPr>
        <w:t xml:space="preserve">    (2)被安庆市行政区域内公共资源交易监管部门限制投标资格且处于有效期内；</w:t>
      </w:r>
    </w:p>
    <w:p>
      <w:pPr>
        <w:widowControl/>
        <w:spacing w:line="360" w:lineRule="auto"/>
        <w:jc w:val="left"/>
        <w:rPr>
          <w:rFonts w:ascii="宋体" w:hAnsi="宋体" w:cs="宋体"/>
          <w:szCs w:val="21"/>
        </w:rPr>
      </w:pPr>
      <w:r>
        <w:rPr>
          <w:rFonts w:hint="eastAsia" w:ascii="宋体" w:hAnsi="宋体" w:cs="宋体"/>
          <w:szCs w:val="21"/>
        </w:rPr>
        <w:t xml:space="preserve">    (3)财产被接管或冻结可能影响本项目正常实施的；</w:t>
      </w:r>
    </w:p>
    <w:p>
      <w:pPr>
        <w:widowControl/>
        <w:spacing w:line="360" w:lineRule="auto"/>
        <w:ind w:firstLine="420"/>
        <w:jc w:val="left"/>
        <w:rPr>
          <w:rFonts w:ascii="宋体" w:hAnsi="宋体" w:cs="宋体"/>
          <w:szCs w:val="21"/>
        </w:rPr>
      </w:pPr>
      <w:r>
        <w:rPr>
          <w:rFonts w:hint="eastAsia" w:ascii="宋体" w:hAnsi="宋体" w:cs="宋体"/>
          <w:szCs w:val="21"/>
        </w:rPr>
        <w:t>(4)法律、法规规定及竞争性谈判文件约定的其他情形。</w:t>
      </w:r>
    </w:p>
    <w:p>
      <w:pPr>
        <w:widowControl/>
        <w:spacing w:line="500" w:lineRule="exact"/>
        <w:ind w:firstLine="420"/>
        <w:jc w:val="left"/>
        <w:rPr>
          <w:rFonts w:ascii="宋体" w:hAnsi="宋体" w:cs="宋体"/>
          <w:szCs w:val="21"/>
        </w:rPr>
      </w:pPr>
      <w:r>
        <w:rPr>
          <w:rFonts w:ascii="宋体" w:hAnsi="宋体"/>
          <w:szCs w:val="21"/>
        </w:rPr>
        <w:t>22.4</w:t>
      </w:r>
      <w:r>
        <w:rPr>
          <w:rFonts w:hint="eastAsia" w:ascii="宋体" w:hAnsi="宋体"/>
          <w:szCs w:val="21"/>
        </w:rPr>
        <w:t>、</w:t>
      </w:r>
      <w:r>
        <w:rPr>
          <w:rFonts w:ascii="宋体" w:hAnsi="宋体"/>
          <w:szCs w:val="21"/>
        </w:rPr>
        <w:t>各级人民政府财政部门依法对参加政府采购活动的供应商作出的禁止参加政府采购活动等行政处罚决定在全国范围内生效。</w:t>
      </w:r>
      <w:r>
        <w:rPr>
          <w:rFonts w:hint="eastAsia" w:ascii="宋体" w:hAnsi="宋体"/>
          <w:szCs w:val="21"/>
        </w:rPr>
        <w:t>谈判响应人受到</w:t>
      </w:r>
      <w:r>
        <w:rPr>
          <w:rFonts w:ascii="宋体" w:hAnsi="宋体"/>
          <w:szCs w:val="21"/>
        </w:rPr>
        <w:t>财政部门依法</w:t>
      </w:r>
      <w:r>
        <w:rPr>
          <w:rFonts w:hint="eastAsia" w:ascii="宋体" w:hAnsi="宋体"/>
          <w:szCs w:val="21"/>
        </w:rPr>
        <w:t>作出的</w:t>
      </w:r>
      <w:r>
        <w:rPr>
          <w:rFonts w:ascii="宋体" w:hAnsi="宋体"/>
          <w:szCs w:val="21"/>
        </w:rPr>
        <w:t>禁止参加政府采购活动</w:t>
      </w:r>
      <w:r>
        <w:rPr>
          <w:rFonts w:hint="eastAsia" w:ascii="宋体" w:hAnsi="宋体"/>
          <w:szCs w:val="21"/>
        </w:rPr>
        <w:t>且在有效期内的</w:t>
      </w:r>
      <w:r>
        <w:rPr>
          <w:rFonts w:ascii="宋体" w:hAnsi="宋体"/>
          <w:szCs w:val="21"/>
        </w:rPr>
        <w:t>行政处罚</w:t>
      </w:r>
      <w:r>
        <w:rPr>
          <w:rFonts w:hint="eastAsia" w:ascii="宋体" w:hAnsi="宋体"/>
          <w:szCs w:val="21"/>
        </w:rPr>
        <w:t>，其谈判响应无效。</w:t>
      </w:r>
    </w:p>
    <w:p>
      <w:pPr>
        <w:pStyle w:val="6"/>
        <w:spacing w:line="360" w:lineRule="auto"/>
        <w:ind w:firstLine="472" w:firstLineChars="196"/>
        <w:rPr>
          <w:rFonts w:hAnsi="宋体" w:cs="宋体"/>
          <w:color w:val="000000"/>
        </w:rPr>
      </w:pPr>
      <w:r>
        <w:rPr>
          <w:rFonts w:hint="eastAsia" w:hAnsi="宋体" w:cs="宋体"/>
          <w:color w:val="000000"/>
        </w:rPr>
        <w:t>六、</w:t>
      </w:r>
      <w:bookmarkEnd w:id="58"/>
      <w:r>
        <w:rPr>
          <w:rFonts w:hint="eastAsia" w:hAnsi="宋体" w:cs="宋体"/>
          <w:color w:val="000000"/>
        </w:rPr>
        <w:t>谈判</w:t>
      </w:r>
      <w:bookmarkEnd w:id="59"/>
    </w:p>
    <w:p>
      <w:pPr>
        <w:widowControl/>
        <w:spacing w:line="360" w:lineRule="auto"/>
        <w:jc w:val="left"/>
        <w:rPr>
          <w:rFonts w:ascii="宋体" w:hAnsi="宋体" w:cs="宋体"/>
          <w:color w:val="000000"/>
          <w:szCs w:val="21"/>
        </w:rPr>
      </w:pPr>
      <w:r>
        <w:rPr>
          <w:rFonts w:hint="eastAsia" w:ascii="宋体" w:hAnsi="宋体" w:cs="宋体"/>
          <w:b/>
          <w:bCs/>
          <w:color w:val="000000"/>
          <w:szCs w:val="21"/>
        </w:rPr>
        <w:t xml:space="preserve">    23、谈判小组</w:t>
      </w:r>
      <w:r>
        <w:rPr>
          <w:rFonts w:hint="eastAsia" w:ascii="宋体" w:hAnsi="宋体" w:cs="宋体"/>
          <w:color w:val="000000"/>
          <w:szCs w:val="21"/>
        </w:rPr>
        <w:t>：谈判小组依法组建，其中采购人代表1人。采购人代表不得担任谈判小组组长。评审由谈判小组进行，谈判小组应坚持公正、公平、诚实守信、实事求是、独立评审的原则。</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24、评审方法：</w:t>
      </w:r>
      <w:r>
        <w:rPr>
          <w:rFonts w:hint="eastAsia" w:ascii="宋体" w:hAnsi="宋体" w:cs="宋体"/>
          <w:color w:val="000000"/>
          <w:szCs w:val="21"/>
        </w:rPr>
        <w:t>本次谈判采用符合性评审的有效最低价评审方法。</w:t>
      </w:r>
    </w:p>
    <w:p>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25、评审程序</w:t>
      </w:r>
      <w:r>
        <w:rPr>
          <w:rFonts w:hint="eastAsia" w:ascii="宋体" w:hAnsi="宋体" w:cs="宋体"/>
          <w:color w:val="000000"/>
          <w:szCs w:val="21"/>
        </w:rPr>
        <w:t>：评审按照谈判响应文件符合性审查、报价评审、澄清有关问题、失信核查和确定成交候选人排序进行评审。</w:t>
      </w:r>
      <w:r>
        <w:rPr>
          <w:rFonts w:hint="eastAsia" w:ascii="宋体" w:hAnsi="宋体" w:cs="宋体"/>
          <w:b/>
          <w:bCs/>
          <w:color w:val="000000"/>
          <w:szCs w:val="21"/>
        </w:rPr>
        <w:t>如有任一项未通过的则不进入下一项评审。</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25.1、谈判响应文件符合性审查，包括但不限于以下内容：</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（1）谈判响应人提供的营业执照、</w:t>
      </w:r>
      <w:r>
        <w:rPr>
          <w:rFonts w:hint="eastAsia" w:ascii="宋体" w:hAnsi="宋体"/>
          <w:szCs w:val="21"/>
        </w:rPr>
        <w:t>税务登记证</w:t>
      </w:r>
      <w:r>
        <w:rPr>
          <w:rFonts w:hint="eastAsia" w:ascii="宋体" w:hAnsi="宋体" w:cs="宋体"/>
          <w:color w:val="000000"/>
          <w:szCs w:val="21"/>
        </w:rPr>
        <w:t>扫描件合法有效（</w:t>
      </w:r>
      <w:r>
        <w:rPr>
          <w:rFonts w:hint="eastAsia" w:ascii="宋体" w:hAnsi="宋体"/>
          <w:szCs w:val="21"/>
        </w:rPr>
        <w:t>已办理“三证合一”登记的，只需提供营业执照扫描件</w:t>
      </w:r>
      <w:r>
        <w:rPr>
          <w:rFonts w:hint="eastAsia" w:ascii="宋体" w:hAnsi="宋体" w:cs="宋体"/>
          <w:color w:val="000000"/>
          <w:szCs w:val="21"/>
        </w:rPr>
        <w:t>）；</w:t>
      </w:r>
      <w:r>
        <w:rPr>
          <w:rFonts w:ascii="宋体" w:hAnsi="宋体" w:cs="宋体"/>
          <w:color w:val="000000"/>
          <w:szCs w:val="21"/>
        </w:rPr>
        <w:t xml:space="preserve">     </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（2）供应商声明函符合规定格式；</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）谈判响应文件是否按竞争性谈判文件的要求进行编制、盖章和标记；</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）竞争性谈判文件要求提交的各种证明文件是否真实、完整、合法、有效；</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（5）所提供的服务、货物是否有缺少；</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（6）谈判响应技术参数是否完全响应或优于竞争性谈判文件要求；</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（7）供货及技术方案是否完整、可行且完全响应或优于竞争性谈判文件要求；</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（8）谈判响应文件对法律、法规和竞争性谈判文件其他明确要求的符合性；</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（9）联合体谈判响应是否提交联合体谈判响应协议书，且联合体协议书中是否明确牵头单位；</w:t>
      </w:r>
    </w:p>
    <w:p>
      <w:pPr>
        <w:widowControl/>
        <w:spacing w:line="360" w:lineRule="auto"/>
        <w:ind w:firstLine="405"/>
        <w:jc w:val="left"/>
        <w:rPr>
          <w:rFonts w:ascii="宋体" w:hAnsi="宋体" w:cs="宋体"/>
          <w:szCs w:val="21"/>
        </w:rPr>
      </w:pPr>
      <w:r>
        <w:rPr>
          <w:rFonts w:hint="eastAsia" w:ascii="宋体" w:hAnsi="宋体" w:cs="宋体"/>
          <w:color w:val="000000"/>
          <w:szCs w:val="21"/>
        </w:rPr>
        <w:t>（10）谈判响应文件是否附有采购人不能接受的条件</w:t>
      </w:r>
      <w:r>
        <w:rPr>
          <w:rFonts w:hint="eastAsia" w:ascii="宋体" w:hAnsi="宋体" w:cs="宋体"/>
          <w:szCs w:val="21"/>
        </w:rPr>
        <w:t>；</w:t>
      </w:r>
    </w:p>
    <w:p>
      <w:pPr>
        <w:widowControl/>
        <w:spacing w:line="360" w:lineRule="auto"/>
        <w:ind w:firstLine="405"/>
        <w:jc w:val="left"/>
        <w:rPr>
          <w:rFonts w:ascii="宋体" w:hAnsi="宋体" w:cs="宋体"/>
          <w:szCs w:val="21"/>
        </w:rPr>
      </w:pPr>
      <w:r>
        <w:rPr>
          <w:rFonts w:hint="eastAsia" w:ascii="宋体" w:hAnsi="宋体" w:cs="宋体"/>
          <w:szCs w:val="21"/>
        </w:rPr>
        <w:t>（11）</w:t>
      </w:r>
      <w:r>
        <w:rPr>
          <w:rFonts w:hint="eastAsia" w:ascii="宋体" w:hAnsi="宋体" w:cs="宋体"/>
          <w:color w:val="000000"/>
          <w:szCs w:val="21"/>
        </w:rPr>
        <w:t>谈判响应文件是否存在竞争性谈判文件中约定的无效谈判响应文件的其他情形；</w:t>
      </w:r>
    </w:p>
    <w:p>
      <w:pPr>
        <w:widowControl/>
        <w:spacing w:line="500" w:lineRule="exact"/>
        <w:ind w:firstLine="405"/>
        <w:jc w:val="left"/>
        <w:rPr>
          <w:rFonts w:ascii="宋体" w:hAnsi="宋体" w:cs="宋体"/>
          <w:color w:val="000000"/>
          <w:szCs w:val="21"/>
        </w:rPr>
      </w:pPr>
      <w:r>
        <w:rPr>
          <w:rFonts w:hint="eastAsia" w:ascii="宋体" w:hAnsi="宋体" w:cs="宋体"/>
          <w:szCs w:val="21"/>
        </w:rPr>
        <w:t>（12）谈判响应文件是否符合竞争性谈判文件的要求；</w:t>
      </w:r>
    </w:p>
    <w:p>
      <w:pPr>
        <w:widowControl/>
        <w:spacing w:line="500" w:lineRule="exact"/>
        <w:ind w:firstLine="420" w:firstLineChars="200"/>
        <w:jc w:val="left"/>
        <w:rPr>
          <w:rFonts w:ascii="宋体" w:hAnsi="宋体" w:cs="宋体"/>
          <w:b/>
          <w:szCs w:val="21"/>
        </w:rPr>
      </w:pPr>
      <w:bookmarkStart w:id="60" w:name="_Toc418517858"/>
      <w:bookmarkStart w:id="61" w:name="_Toc15032"/>
      <w:bookmarkStart w:id="62" w:name="_Toc417655921"/>
      <w:r>
        <w:rPr>
          <w:rFonts w:hint="eastAsia" w:ascii="宋体" w:hAnsi="宋体" w:cs="宋体"/>
          <w:szCs w:val="21"/>
        </w:rPr>
        <w:t>25.2、</w:t>
      </w:r>
      <w:r>
        <w:rPr>
          <w:rFonts w:hint="eastAsia" w:ascii="宋体" w:hAnsi="宋体" w:cs="宋体"/>
          <w:b/>
          <w:szCs w:val="21"/>
        </w:rPr>
        <w:t>谈判文件所有要求在谈判响应文件中提供复印件或影印件的，若在谈判响应文件中未提供响应复印件或影印件，由成交人在签订合同前提交给采购人，否则视为成交人自动放弃成交资格。</w:t>
      </w:r>
    </w:p>
    <w:p>
      <w:pPr>
        <w:widowControl/>
        <w:spacing w:line="500" w:lineRule="exact"/>
        <w:ind w:firstLine="422" w:firstLineChars="200"/>
        <w:jc w:val="left"/>
        <w:rPr>
          <w:rFonts w:ascii="宋体" w:hAnsi="宋体" w:cs="宋体"/>
          <w:b/>
          <w:szCs w:val="21"/>
        </w:rPr>
      </w:pPr>
      <w:r>
        <w:rPr>
          <w:rFonts w:hint="eastAsia" w:ascii="宋体" w:hAnsi="宋体" w:cs="宋体"/>
          <w:b/>
          <w:szCs w:val="21"/>
        </w:rPr>
        <w:t>25.3、谈判响应人须对提供资料、发票等证明材料的真实性负责，若所提供的资料为虚假的，视为虚假响应。</w:t>
      </w:r>
    </w:p>
    <w:p>
      <w:pPr>
        <w:widowControl/>
        <w:spacing w:line="360" w:lineRule="auto"/>
        <w:ind w:firstLine="420" w:firstLineChars="200"/>
        <w:jc w:val="left"/>
        <w:rPr>
          <w:rFonts w:ascii="宋体" w:hAnsi="宋体" w:cs="宋体"/>
          <w:b/>
          <w:szCs w:val="21"/>
        </w:rPr>
      </w:pPr>
      <w:r>
        <w:rPr>
          <w:rFonts w:hint="eastAsia" w:ascii="宋体" w:hAnsi="宋体" w:cs="宋体"/>
          <w:szCs w:val="21"/>
        </w:rPr>
        <w:t>25.4、报价评审：谈判响应报价不得超过谈判最高限价，否则报价评审不通过。</w:t>
      </w:r>
    </w:p>
    <w:p>
      <w:pPr>
        <w:widowControl/>
        <w:spacing w:line="360" w:lineRule="auto"/>
        <w:ind w:firstLine="430"/>
        <w:jc w:val="left"/>
        <w:rPr>
          <w:rFonts w:ascii="宋体" w:hAnsi="宋体" w:cs="宋体"/>
          <w:szCs w:val="21"/>
        </w:rPr>
      </w:pPr>
      <w:r>
        <w:rPr>
          <w:rFonts w:hint="eastAsia" w:ascii="宋体" w:hAnsi="宋体" w:cs="宋体"/>
          <w:szCs w:val="21"/>
        </w:rPr>
        <w:t>25.5、谈判小组发现谈判响应人的报价或某些分项报价明显不合理或者低于成本，有可能影响商品质量和不能诚信履约的，应当要求其在30分钟内提供书面文件予以解释说明，并提交相关证明材料；否则，谈判小组可以取消该谈判响应人的成交候选资格，按顺序由排在后面的成交候选人递补，以此类推。</w:t>
      </w:r>
    </w:p>
    <w:p>
      <w:pPr>
        <w:widowControl/>
        <w:spacing w:line="500" w:lineRule="exact"/>
        <w:ind w:firstLine="405"/>
        <w:jc w:val="left"/>
        <w:rPr>
          <w:rFonts w:ascii="宋体" w:hAnsi="宋体"/>
          <w:b/>
          <w:szCs w:val="21"/>
        </w:rPr>
      </w:pPr>
      <w:r>
        <w:rPr>
          <w:rFonts w:hint="eastAsia" w:ascii="宋体" w:hAnsi="宋体"/>
          <w:b/>
          <w:szCs w:val="21"/>
        </w:rPr>
        <w:t>谈判响应人响应报价与公布的预算价（或控制价)相比降幅过小，或谈判响应人响应报价明显缺乏竞争性的，评标委员会可以否决所有谈判响应文件。</w:t>
      </w:r>
    </w:p>
    <w:p>
      <w:pPr>
        <w:widowControl/>
        <w:spacing w:line="360" w:lineRule="auto"/>
        <w:ind w:firstLine="420"/>
        <w:jc w:val="left"/>
        <w:rPr>
          <w:rFonts w:ascii="宋体" w:hAnsi="宋体" w:cs="宋体"/>
          <w:szCs w:val="21"/>
        </w:rPr>
      </w:pPr>
      <w:r>
        <w:rPr>
          <w:rFonts w:hint="eastAsia" w:ascii="宋体" w:hAnsi="宋体" w:cs="宋体"/>
          <w:szCs w:val="21"/>
        </w:rPr>
        <w:t>25.6、澄清有关问题：在评审期间，谈判小组有权以书面方式要求谈判响应人对其谈判响应文件中含义不明确、对同类问题表述不一致或者有明显文字和计算错误的内容作必要的澄清、说明或补正。谈判响应人澄清、说明或补正应在谈判小组规定的时间内以书面方式进行，并不得超出谈判响应文件范围或者改变谈判响应文件的实质性内容。澄清文件将作为谈判响应文件内容的一部分。</w:t>
      </w:r>
    </w:p>
    <w:p>
      <w:pPr>
        <w:spacing w:line="360" w:lineRule="auto"/>
        <w:ind w:firstLine="420" w:firstLineChars="200"/>
        <w:rPr>
          <w:rFonts w:ascii="宋体" w:hAnsi="宋体" w:cs="宋体"/>
          <w:szCs w:val="21"/>
        </w:rPr>
      </w:pPr>
      <w:r>
        <w:rPr>
          <w:rFonts w:hint="eastAsia" w:ascii="宋体" w:hAnsi="宋体" w:cs="宋体"/>
          <w:szCs w:val="21"/>
        </w:rPr>
        <w:t>25.7、谈判。谈判小组与通过谈判响应文件符合性审查和报价评审的谈判响应人，就报价和谈判小组提出的其他要求进行谈判。</w:t>
      </w:r>
    </w:p>
    <w:p>
      <w:pPr>
        <w:spacing w:line="360" w:lineRule="auto"/>
        <w:ind w:firstLine="420" w:firstLineChars="200"/>
        <w:rPr>
          <w:rFonts w:ascii="宋体" w:hAnsi="宋体" w:cs="宋体"/>
          <w:szCs w:val="21"/>
        </w:rPr>
      </w:pPr>
      <w:r>
        <w:rPr>
          <w:rFonts w:hint="eastAsia" w:ascii="宋体" w:hAnsi="宋体" w:cs="宋体"/>
          <w:szCs w:val="21"/>
        </w:rPr>
        <w:t>25.7.1、</w:t>
      </w:r>
      <w:r>
        <w:rPr>
          <w:rFonts w:hint="eastAsia" w:ascii="宋体" w:hAnsi="宋体" w:cs="宋体"/>
          <w:b/>
          <w:szCs w:val="21"/>
        </w:rPr>
        <w:t>谈判响应人对谈判文件中个别或部分条款或谈判小组提出的要求未作出响应时，需谈判响应人以书面形式向谈判小组提出，且需谈判小组组长签字确认。未对谈判文件中个别或部分条款或谈判小组提出的要求作出实质性响应的报价，有可能被拒绝</w:t>
      </w:r>
      <w:r>
        <w:rPr>
          <w:rFonts w:hint="eastAsia" w:ascii="宋体" w:hAnsi="宋体" w:cs="宋体"/>
          <w:szCs w:val="21"/>
        </w:rPr>
        <w:t>。</w:t>
      </w:r>
    </w:p>
    <w:p>
      <w:pPr>
        <w:spacing w:line="360" w:lineRule="auto"/>
        <w:ind w:firstLine="420" w:firstLineChars="200"/>
        <w:rPr>
          <w:rFonts w:ascii="宋体" w:hAnsi="宋体"/>
          <w:szCs w:val="21"/>
        </w:rPr>
      </w:pPr>
      <w:r>
        <w:rPr>
          <w:rFonts w:hint="eastAsia" w:ascii="宋体" w:hAnsi="宋体" w:cs="宋体"/>
          <w:szCs w:val="21"/>
        </w:rPr>
        <w:t>25.7.2、</w:t>
      </w:r>
      <w:r>
        <w:rPr>
          <w:rFonts w:hint="eastAsia" w:ascii="宋体" w:hAnsi="宋体" w:cs="宋体"/>
          <w:b/>
          <w:szCs w:val="21"/>
        </w:rPr>
        <w:t>谈判响应人根据谈判小组要求进行最终报价，且最终报价不得高于首轮报价，最终报价表由各谈判响应单位谈判现场递交纸质最终报价表。</w:t>
      </w:r>
    </w:p>
    <w:p>
      <w:pPr>
        <w:widowControl/>
        <w:spacing w:line="500" w:lineRule="exact"/>
        <w:ind w:firstLine="420"/>
        <w:jc w:val="left"/>
        <w:rPr>
          <w:rFonts w:ascii="宋体" w:hAnsi="宋体" w:cs="宋体"/>
          <w:szCs w:val="21"/>
        </w:rPr>
      </w:pPr>
      <w:r>
        <w:rPr>
          <w:rFonts w:hint="eastAsia" w:ascii="宋体" w:hAnsi="宋体" w:cs="宋体"/>
          <w:szCs w:val="21"/>
        </w:rPr>
        <w:t>25.8、失信核查</w:t>
      </w:r>
    </w:p>
    <w:p>
      <w:pPr>
        <w:widowControl/>
        <w:spacing w:line="500" w:lineRule="exact"/>
        <w:ind w:firstLine="420"/>
        <w:jc w:val="left"/>
        <w:rPr>
          <w:rStyle w:val="29"/>
          <w:color w:val="auto"/>
          <w:szCs w:val="21"/>
        </w:rPr>
      </w:pPr>
      <w:r>
        <w:rPr>
          <w:rFonts w:hint="eastAsia" w:ascii="宋体" w:hAnsi="宋体"/>
          <w:szCs w:val="21"/>
        </w:rPr>
        <w:t>谈判小组查询排序前三名的谈判响应人信用记录，谈判响应人存在不良信用记录的，谈判小组</w:t>
      </w:r>
      <w:r>
        <w:fldChar w:fldCharType="begin"/>
      </w:r>
      <w:r>
        <w:instrText xml:space="preserve"> HYPERLINK "http://www.ccgp.gov.cn/），若核查存在政府采购严重违法失信名单记录的投标人，评标委员会不得将其推荐为中标候选人，依序递补，并再次对递补的投标人进行核查及计算信用评审价。" </w:instrText>
      </w:r>
      <w:r>
        <w:fldChar w:fldCharType="separate"/>
      </w:r>
      <w:r>
        <w:rPr>
          <w:rStyle w:val="29"/>
          <w:rFonts w:hint="eastAsia"/>
          <w:color w:val="auto"/>
          <w:szCs w:val="21"/>
          <w:u w:val="none"/>
        </w:rPr>
        <w:t>不得将其推荐为成交候选人，依序递补，并再次对递补的谈判响应人进行核查。</w:t>
      </w:r>
      <w:r>
        <w:rPr>
          <w:rStyle w:val="29"/>
          <w:rFonts w:hint="eastAsia"/>
          <w:color w:val="auto"/>
          <w:szCs w:val="21"/>
          <w:u w:val="none"/>
        </w:rPr>
        <w:fldChar w:fldCharType="end"/>
      </w:r>
    </w:p>
    <w:p>
      <w:pPr>
        <w:widowControl/>
        <w:spacing w:line="500" w:lineRule="exact"/>
        <w:ind w:firstLine="420"/>
        <w:jc w:val="left"/>
        <w:rPr>
          <w:rFonts w:ascii="宋体" w:hAnsi="宋体"/>
          <w:szCs w:val="21"/>
        </w:rPr>
      </w:pPr>
      <w:r>
        <w:rPr>
          <w:rFonts w:ascii="宋体" w:hAnsi="宋体"/>
          <w:szCs w:val="21"/>
        </w:rPr>
        <w:t>25.</w:t>
      </w:r>
      <w:r>
        <w:rPr>
          <w:rFonts w:hint="eastAsia" w:ascii="宋体" w:hAnsi="宋体"/>
          <w:szCs w:val="21"/>
        </w:rPr>
        <w:t>8</w:t>
      </w:r>
      <w:r>
        <w:rPr>
          <w:rFonts w:ascii="宋体" w:hAnsi="宋体"/>
          <w:szCs w:val="21"/>
        </w:rPr>
        <w:t>.1</w:t>
      </w:r>
      <w:r>
        <w:rPr>
          <w:rFonts w:hint="eastAsia" w:ascii="宋体" w:hAnsi="宋体"/>
          <w:szCs w:val="21"/>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投标将被认定为谈判响应无效。</w:t>
      </w:r>
    </w:p>
    <w:p>
      <w:pPr>
        <w:widowControl/>
        <w:spacing w:line="500" w:lineRule="exact"/>
        <w:ind w:firstLine="420"/>
        <w:jc w:val="left"/>
        <w:rPr>
          <w:rFonts w:ascii="宋体" w:hAnsi="宋体" w:cs="宋体"/>
          <w:szCs w:val="21"/>
        </w:rPr>
      </w:pPr>
      <w:r>
        <w:rPr>
          <w:rFonts w:hint="eastAsia" w:ascii="宋体" w:hAnsi="宋体"/>
          <w:szCs w:val="21"/>
        </w:rPr>
        <w:t>2</w:t>
      </w:r>
      <w:r>
        <w:rPr>
          <w:rFonts w:ascii="宋体" w:hAnsi="宋体"/>
          <w:szCs w:val="21"/>
        </w:rPr>
        <w:t>5.</w:t>
      </w:r>
      <w:r>
        <w:rPr>
          <w:rFonts w:hint="eastAsia" w:ascii="宋体" w:hAnsi="宋体"/>
          <w:szCs w:val="21"/>
        </w:rPr>
        <w:t>8</w:t>
      </w:r>
      <w:r>
        <w:rPr>
          <w:rFonts w:ascii="宋体" w:hAnsi="宋体"/>
          <w:szCs w:val="21"/>
        </w:rPr>
        <w:t>.2</w:t>
      </w:r>
      <w:r>
        <w:rPr>
          <w:rFonts w:hint="eastAsia" w:ascii="宋体" w:hAnsi="宋体"/>
          <w:szCs w:val="21"/>
        </w:rPr>
        <w:t>、信用信息查询渠道：中国政府采购网（www.ccgp.gov.cn）、“信用中国”网站（</w:t>
      </w:r>
      <w:r>
        <w:rPr>
          <w:rFonts w:hint="eastAsia"/>
        </w:rPr>
        <w:fldChar w:fldCharType="begin"/>
      </w:r>
      <w:r>
        <w:instrText xml:space="preserve"> HYPERLINK "http://www.creditchina.gov.cn" </w:instrText>
      </w:r>
      <w:r>
        <w:rPr>
          <w:rFonts w:hint="eastAsia"/>
        </w:rPr>
        <w:fldChar w:fldCharType="separate"/>
      </w:r>
      <w:r>
        <w:rPr>
          <w:rFonts w:hint="eastAsia"/>
        </w:rPr>
        <w:t>www.creditchina.gov.cn</w:t>
      </w:r>
      <w:r>
        <w:rPr>
          <w:rFonts w:hint="eastAsia"/>
        </w:rPr>
        <w:fldChar w:fldCharType="end"/>
      </w:r>
      <w:r>
        <w:rPr>
          <w:rFonts w:hint="eastAsia" w:ascii="宋体" w:hAnsi="宋体"/>
          <w:szCs w:val="21"/>
        </w:rPr>
        <w:t>）。</w:t>
      </w:r>
    </w:p>
    <w:p>
      <w:pPr>
        <w:widowControl/>
        <w:spacing w:line="500" w:lineRule="exact"/>
        <w:ind w:firstLine="420"/>
        <w:jc w:val="left"/>
        <w:rPr>
          <w:rFonts w:ascii="宋体" w:hAnsi="宋体" w:cs="宋体"/>
          <w:szCs w:val="21"/>
        </w:rPr>
      </w:pPr>
      <w:r>
        <w:rPr>
          <w:rFonts w:hint="eastAsia" w:ascii="宋体" w:hAnsi="宋体" w:cs="宋体"/>
          <w:szCs w:val="21"/>
        </w:rPr>
        <w:t>25.9、确定成交候选人排序：谈判小组对通过谈判响应文件符合性审查、报价评审和失信核查的谈判响应人，根据最终报价由低至高的顺序排列。报价最低的为第一成交候选人，次低的为第二成交候选人，第三低的为第三成交候选人。若出现两家或两家以上最终报价最低且相等时，则由采购人采取现场随机抽取的方式确定成交候选人排序。</w:t>
      </w:r>
    </w:p>
    <w:p>
      <w:pPr>
        <w:widowControl/>
        <w:spacing w:line="500" w:lineRule="exact"/>
        <w:jc w:val="left"/>
        <w:rPr>
          <w:rFonts w:ascii="宋体" w:hAnsi="宋体" w:cs="宋体"/>
          <w:b/>
          <w:bCs/>
          <w:szCs w:val="21"/>
        </w:rPr>
      </w:pPr>
      <w:r>
        <w:rPr>
          <w:rFonts w:hint="eastAsia" w:ascii="宋体" w:hAnsi="宋体" w:cs="宋体"/>
          <w:szCs w:val="21"/>
        </w:rPr>
        <w:t xml:space="preserve">    </w:t>
      </w:r>
      <w:r>
        <w:rPr>
          <w:rFonts w:hint="eastAsia" w:ascii="宋体" w:hAnsi="宋体" w:cs="宋体"/>
          <w:b/>
          <w:bCs/>
          <w:szCs w:val="21"/>
        </w:rPr>
        <w:t>26、</w:t>
      </w:r>
      <w:r>
        <w:rPr>
          <w:rFonts w:hint="eastAsia" w:ascii="宋体" w:hAnsi="宋体" w:cs="宋体"/>
          <w:b/>
          <w:szCs w:val="21"/>
        </w:rPr>
        <w:t>谈判评审</w:t>
      </w:r>
      <w:r>
        <w:rPr>
          <w:rFonts w:hint="eastAsia" w:ascii="宋体" w:hAnsi="宋体" w:cs="宋体"/>
          <w:b/>
          <w:bCs/>
          <w:szCs w:val="21"/>
        </w:rPr>
        <w:t>异常情况处理</w:t>
      </w:r>
    </w:p>
    <w:p>
      <w:pPr>
        <w:widowControl/>
        <w:spacing w:line="500" w:lineRule="exact"/>
        <w:jc w:val="left"/>
        <w:rPr>
          <w:rFonts w:ascii="宋体" w:hAnsi="宋体" w:cs="宋体"/>
          <w:szCs w:val="21"/>
        </w:rPr>
      </w:pPr>
      <w:r>
        <w:rPr>
          <w:rFonts w:hint="eastAsia" w:ascii="宋体" w:hAnsi="宋体" w:cs="宋体"/>
          <w:szCs w:val="21"/>
        </w:rPr>
        <w:t xml:space="preserve">    26.1、在竞争性谈判采购中，出现下列情况之一的，应予废标，采购单位重新组织采购：</w:t>
      </w:r>
    </w:p>
    <w:p>
      <w:pPr>
        <w:widowControl/>
        <w:spacing w:line="500" w:lineRule="exact"/>
        <w:jc w:val="left"/>
        <w:rPr>
          <w:rFonts w:hint="eastAsia" w:ascii="宋体" w:hAnsi="宋体" w:eastAsia="宋体" w:cs="宋体"/>
          <w:szCs w:val="21"/>
        </w:rPr>
      </w:pPr>
      <w:r>
        <w:rPr>
          <w:rFonts w:hint="eastAsia" w:ascii="宋体" w:hAnsi="宋体" w:cs="宋体"/>
          <w:szCs w:val="21"/>
        </w:rPr>
        <w:t xml:space="preserve">    (1) 符合专业条件的谈判响应人或者对竞</w:t>
      </w:r>
      <w:r>
        <w:rPr>
          <w:rFonts w:hint="eastAsia" w:ascii="宋体" w:hAnsi="宋体" w:eastAsia="宋体" w:cs="宋体"/>
          <w:szCs w:val="21"/>
        </w:rPr>
        <w:t>争性谈判文件作实质响应的谈判响应人不足三家的；</w:t>
      </w:r>
    </w:p>
    <w:p>
      <w:pPr>
        <w:widowControl/>
        <w:spacing w:line="500" w:lineRule="exact"/>
        <w:jc w:val="left"/>
        <w:rPr>
          <w:rFonts w:hint="eastAsia" w:ascii="宋体" w:hAnsi="宋体" w:eastAsia="宋体" w:cs="宋体"/>
          <w:szCs w:val="21"/>
        </w:rPr>
      </w:pPr>
      <w:r>
        <w:rPr>
          <w:rFonts w:hint="eastAsia" w:ascii="宋体" w:hAnsi="宋体" w:eastAsia="宋体" w:cs="宋体"/>
          <w:szCs w:val="21"/>
        </w:rPr>
        <w:t xml:space="preserve">    (2)</w:t>
      </w:r>
      <w:r>
        <w:rPr>
          <w:rFonts w:hint="eastAsia" w:ascii="宋体" w:hAnsi="宋体" w:eastAsia="宋体" w:cs="宋体"/>
          <w:szCs w:val="21"/>
        </w:rPr>
        <w:tab/>
      </w:r>
      <w:r>
        <w:rPr>
          <w:rFonts w:hint="eastAsia" w:ascii="宋体" w:hAnsi="宋体" w:eastAsia="宋体" w:cs="宋体"/>
          <w:szCs w:val="21"/>
        </w:rPr>
        <w:t>出现影响采购公正的违法、违规行为的；</w:t>
      </w:r>
    </w:p>
    <w:p>
      <w:pPr>
        <w:widowControl/>
        <w:spacing w:line="500" w:lineRule="exact"/>
        <w:jc w:val="left"/>
        <w:rPr>
          <w:rFonts w:hint="eastAsia" w:ascii="宋体" w:hAnsi="宋体" w:eastAsia="宋体" w:cs="宋体"/>
          <w:szCs w:val="21"/>
        </w:rPr>
      </w:pPr>
      <w:r>
        <w:rPr>
          <w:rFonts w:hint="eastAsia" w:ascii="宋体" w:hAnsi="宋体" w:eastAsia="宋体" w:cs="宋体"/>
          <w:szCs w:val="21"/>
        </w:rPr>
        <w:t xml:space="preserve">    (3)</w:t>
      </w:r>
      <w:r>
        <w:rPr>
          <w:rFonts w:hint="eastAsia" w:ascii="宋体" w:hAnsi="宋体" w:eastAsia="宋体" w:cs="宋体"/>
          <w:szCs w:val="21"/>
        </w:rPr>
        <w:tab/>
      </w:r>
      <w:r>
        <w:rPr>
          <w:rFonts w:hint="eastAsia" w:ascii="宋体" w:hAnsi="宋体" w:eastAsia="宋体" w:cs="宋体"/>
          <w:szCs w:val="21"/>
        </w:rPr>
        <w:t>谈判响应人的总报价均超过了谈判最高限价，采购人不能支付的；</w:t>
      </w:r>
    </w:p>
    <w:p>
      <w:pPr>
        <w:widowControl/>
        <w:spacing w:line="500" w:lineRule="exact"/>
        <w:ind w:firstLine="420" w:firstLineChars="200"/>
        <w:jc w:val="left"/>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rPr>
        <w:tab/>
      </w:r>
      <w:r>
        <w:rPr>
          <w:rFonts w:hint="eastAsia" w:ascii="宋体" w:hAnsi="宋体" w:eastAsia="宋体" w:cs="宋体"/>
          <w:szCs w:val="21"/>
        </w:rPr>
        <w:t>因重大变故，采购任务取消的。</w:t>
      </w:r>
    </w:p>
    <w:p>
      <w:pPr>
        <w:spacing w:line="360" w:lineRule="auto"/>
        <w:ind w:firstLine="422" w:firstLineChars="200"/>
        <w:rPr>
          <w:rFonts w:ascii="宋体" w:hAnsi="宋体" w:cs="宋体"/>
          <w:b/>
          <w:szCs w:val="21"/>
        </w:rPr>
      </w:pPr>
      <w:r>
        <w:rPr>
          <w:rFonts w:hint="eastAsia" w:ascii="宋体" w:hAnsi="宋体" w:cs="宋体"/>
          <w:b/>
          <w:szCs w:val="21"/>
        </w:rPr>
        <w:t>27、谈判过程的保密性</w:t>
      </w:r>
    </w:p>
    <w:p>
      <w:pPr>
        <w:widowControl/>
        <w:spacing w:line="360" w:lineRule="auto"/>
        <w:jc w:val="left"/>
        <w:rPr>
          <w:rFonts w:ascii="宋体" w:hAnsi="宋体" w:cs="宋体"/>
          <w:szCs w:val="21"/>
        </w:rPr>
      </w:pPr>
      <w:r>
        <w:rPr>
          <w:rFonts w:hint="eastAsia" w:ascii="宋体" w:hAnsi="宋体" w:cs="宋体"/>
          <w:szCs w:val="21"/>
        </w:rPr>
        <w:t xml:space="preserve">    27.1、谈判后，直到授予成交人合同止，凡是与谈判响应文件审查、澄清、评价、比较以及授标建议等评审方面的情况，均不得向谈判响应人或其他无关的人员透露。</w:t>
      </w:r>
    </w:p>
    <w:p>
      <w:pPr>
        <w:widowControl/>
        <w:spacing w:line="360" w:lineRule="auto"/>
        <w:jc w:val="left"/>
        <w:rPr>
          <w:rFonts w:ascii="宋体" w:hAnsi="宋体" w:cs="宋体"/>
          <w:szCs w:val="21"/>
        </w:rPr>
      </w:pPr>
      <w:r>
        <w:rPr>
          <w:rFonts w:hint="eastAsia" w:ascii="宋体" w:hAnsi="宋体" w:cs="宋体"/>
          <w:szCs w:val="21"/>
        </w:rPr>
        <w:t xml:space="preserve">    27.2、在评审过程中，谈判响应人如向谈判小组成员施加任何影响，都将会导致其谈判响应文件被拒绝。   </w:t>
      </w:r>
    </w:p>
    <w:p>
      <w:pPr>
        <w:widowControl/>
        <w:spacing w:line="360" w:lineRule="auto"/>
        <w:jc w:val="left"/>
        <w:rPr>
          <w:rFonts w:ascii="宋体" w:hAnsi="宋体" w:cs="宋体"/>
          <w:szCs w:val="21"/>
        </w:rPr>
      </w:pPr>
      <w:r>
        <w:rPr>
          <w:rFonts w:hint="eastAsia" w:ascii="宋体" w:hAnsi="宋体" w:cs="宋体"/>
          <w:szCs w:val="21"/>
        </w:rPr>
        <w:t xml:space="preserve">    27.3、成交人确定后，采购单位不对未成交人就评审过程以及未能成交原因做出任何解释。谈判响应人不得向谈判小组组成人员或其他有关人员询问评审过程的情况和要求提供材料。</w:t>
      </w:r>
    </w:p>
    <w:p>
      <w:pPr>
        <w:widowControl/>
        <w:spacing w:line="360" w:lineRule="auto"/>
        <w:jc w:val="left"/>
        <w:rPr>
          <w:rFonts w:ascii="宋体" w:hAnsi="宋体" w:cs="宋体"/>
          <w:szCs w:val="21"/>
        </w:rPr>
      </w:pPr>
      <w:r>
        <w:rPr>
          <w:rFonts w:hint="eastAsia" w:ascii="宋体" w:hAnsi="宋体" w:cs="宋体"/>
          <w:szCs w:val="21"/>
        </w:rPr>
        <w:t xml:space="preserve">    27.4、服务费</w:t>
      </w:r>
    </w:p>
    <w:p>
      <w:pPr>
        <w:widowControl/>
        <w:spacing w:line="500" w:lineRule="exact"/>
        <w:jc w:val="left"/>
        <w:rPr>
          <w:rFonts w:ascii="宋体" w:hAnsi="宋体" w:cs="宋体"/>
          <w:szCs w:val="21"/>
        </w:rPr>
      </w:pPr>
      <w:r>
        <w:rPr>
          <w:rFonts w:hint="eastAsia" w:ascii="宋体" w:hAnsi="宋体" w:cs="宋体"/>
          <w:szCs w:val="21"/>
        </w:rPr>
        <w:t xml:space="preserve">    27.4.1、成交人应在收到缴费通知后三日内按竞争性谈判文件要求缴纳服务费，完成缴费后请在7个工作日内前来开具增值税发票，逾期按普票开具，不再开具专票。</w:t>
      </w:r>
    </w:p>
    <w:p>
      <w:pPr>
        <w:widowControl/>
        <w:spacing w:line="500" w:lineRule="exact"/>
        <w:ind w:firstLine="420" w:firstLineChars="200"/>
        <w:jc w:val="left"/>
        <w:rPr>
          <w:rFonts w:ascii="宋体" w:hAnsi="宋体" w:cs="宋体"/>
          <w:szCs w:val="21"/>
        </w:rPr>
      </w:pPr>
      <w:r>
        <w:rPr>
          <w:rFonts w:hint="eastAsia" w:ascii="宋体" w:hAnsi="宋体" w:cs="宋体"/>
          <w:szCs w:val="21"/>
        </w:rPr>
        <w:t>27.4.2、服务费按差额定率累进法计算。以成交价计算基数，按下表约定的</w:t>
      </w:r>
      <w:r>
        <w:rPr>
          <w:rFonts w:hint="eastAsia" w:ascii="宋体" w:hAnsi="宋体" w:cs="宋体"/>
          <w:b/>
          <w:bCs/>
          <w:szCs w:val="21"/>
          <w:lang w:val="en-US" w:eastAsia="zh-CN"/>
        </w:rPr>
        <w:t>服务</w:t>
      </w:r>
      <w:r>
        <w:rPr>
          <w:rFonts w:hint="eastAsia" w:ascii="宋体" w:hAnsi="宋体" w:cs="宋体"/>
          <w:szCs w:val="21"/>
        </w:rPr>
        <w:t>标准的80%收取。</w:t>
      </w:r>
    </w:p>
    <w:tbl>
      <w:tblPr>
        <w:tblStyle w:val="23"/>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rFonts w:ascii="宋体" w:hAnsi="宋体" w:cs="宋体"/>
                <w:szCs w:val="21"/>
              </w:rPr>
            </w:pPr>
            <w:r>
              <w:rPr>
                <w:rFonts w:ascii="宋体" w:hAnsi="宋体" w:cs="宋体"/>
                <w:szCs w:val="21"/>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13335</wp:posOffset>
                      </wp:positionV>
                      <wp:extent cx="1828165" cy="493395"/>
                      <wp:effectExtent l="1270" t="4445" r="18415" b="16510"/>
                      <wp:wrapNone/>
                      <wp:docPr id="1" name="Line 2"/>
                      <wp:cNvGraphicFramePr/>
                      <a:graphic xmlns:a="http://schemas.openxmlformats.org/drawingml/2006/main">
                        <a:graphicData uri="http://schemas.microsoft.com/office/word/2010/wordprocessingShape">
                          <wps:wsp>
                            <wps:cNvCnPr/>
                            <wps:spPr>
                              <a:xfrm>
                                <a:off x="0" y="0"/>
                                <a:ext cx="1828165" cy="49339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5.35pt;margin-top:1.05pt;height:38.85pt;width:143.95pt;z-index:251660288;mso-width-relative:page;mso-height-relative:page;" filled="f" stroked="t" coordsize="21600,21600" o:gfxdata="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09tp71wAAAAgB&#10;AAAPAAAAAAAAAAEAIAAAACIAAABkcnMvZG93bnJldi54bWxQSwECFAAUAAAACACHTuJAaPYOweMB&#10;AADsAwAADgAAAAAAAAABACAAAAAmAQAAZHJzL2Uyb0RvYy54bWxQSwUGAAAAAAYABgBZAQAAewUA&#10;AAAA&#10;">
                      <v:fill on="f" focussize="0,0"/>
                      <v:stroke color="#000000" joinstyle="round"/>
                      <v:imagedata o:title=""/>
                      <o:lock v:ext="edit" aspectratio="f"/>
                    </v:line>
                  </w:pict>
                </mc:Fallback>
              </mc:AlternateContent>
            </w:r>
            <w:r>
              <w:rPr>
                <w:rFonts w:hint="eastAsia" w:ascii="宋体" w:hAnsi="宋体" w:cs="宋体"/>
                <w:szCs w:val="21"/>
              </w:rPr>
              <w:t xml:space="preserve">          费率</w:t>
            </w:r>
          </w:p>
          <w:p>
            <w:pPr>
              <w:rPr>
                <w:rFonts w:ascii="宋体" w:hAnsi="宋体" w:cs="宋体"/>
                <w:szCs w:val="21"/>
              </w:rPr>
            </w:pPr>
            <w:r>
              <w:rPr>
                <w:rFonts w:hint="eastAsia" w:ascii="宋体" w:hAnsi="宋体" w:cs="宋体"/>
                <w:szCs w:val="21"/>
              </w:rPr>
              <w:t>成交价</w:t>
            </w:r>
          </w:p>
        </w:tc>
        <w:tc>
          <w:tcPr>
            <w:tcW w:w="1755" w:type="dxa"/>
            <w:vAlign w:val="center"/>
          </w:tcPr>
          <w:p>
            <w:pPr>
              <w:ind w:firstLine="105" w:firstLineChars="50"/>
              <w:jc w:val="center"/>
              <w:rPr>
                <w:rFonts w:ascii="宋体" w:hAnsi="宋体" w:cs="宋体"/>
                <w:szCs w:val="21"/>
              </w:rPr>
            </w:pPr>
            <w:r>
              <w:rPr>
                <w:rFonts w:hint="eastAsia" w:ascii="宋体" w:hAnsi="宋体" w:cs="宋体"/>
                <w:szCs w:val="21"/>
              </w:rPr>
              <w:t>货物招标</w:t>
            </w:r>
          </w:p>
        </w:tc>
        <w:tc>
          <w:tcPr>
            <w:tcW w:w="1682" w:type="dxa"/>
            <w:vAlign w:val="center"/>
          </w:tcPr>
          <w:p>
            <w:pPr>
              <w:jc w:val="center"/>
              <w:rPr>
                <w:rFonts w:ascii="宋体" w:hAnsi="宋体" w:cs="宋体"/>
                <w:szCs w:val="21"/>
              </w:rPr>
            </w:pPr>
            <w:r>
              <w:rPr>
                <w:rFonts w:hint="eastAsia" w:ascii="宋体" w:hAnsi="宋体" w:cs="宋体"/>
                <w:szCs w:val="21"/>
              </w:rPr>
              <w:t>服务招标</w:t>
            </w:r>
          </w:p>
        </w:tc>
        <w:tc>
          <w:tcPr>
            <w:tcW w:w="2186" w:type="dxa"/>
            <w:vAlign w:val="center"/>
          </w:tcPr>
          <w:p>
            <w:pPr>
              <w:jc w:val="center"/>
              <w:rPr>
                <w:rFonts w:ascii="宋体" w:hAnsi="宋体" w:cs="宋体"/>
                <w:szCs w:val="21"/>
              </w:rPr>
            </w:pPr>
            <w:r>
              <w:rPr>
                <w:rFonts w:hint="eastAsia" w:ascii="宋体" w:hAnsi="宋体" w:cs="宋体"/>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rFonts w:ascii="宋体" w:hAnsi="宋体" w:cs="宋体"/>
                <w:szCs w:val="21"/>
              </w:rPr>
            </w:pPr>
            <w:r>
              <w:rPr>
                <w:rFonts w:hint="eastAsia" w:ascii="宋体" w:hAnsi="宋体" w:cs="宋体"/>
                <w:szCs w:val="21"/>
              </w:rPr>
              <w:t>100万元以下</w:t>
            </w:r>
          </w:p>
        </w:tc>
        <w:tc>
          <w:tcPr>
            <w:tcW w:w="1755" w:type="dxa"/>
          </w:tcPr>
          <w:p>
            <w:pPr>
              <w:jc w:val="center"/>
              <w:rPr>
                <w:rFonts w:ascii="宋体" w:hAnsi="宋体" w:cs="宋体"/>
                <w:szCs w:val="21"/>
              </w:rPr>
            </w:pPr>
            <w:r>
              <w:rPr>
                <w:rFonts w:hint="eastAsia" w:ascii="宋体" w:hAnsi="宋体" w:cs="宋体"/>
                <w:kern w:val="0"/>
                <w:szCs w:val="21"/>
              </w:rPr>
              <w:t>1.5%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1.5%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100～500万元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1.1%</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0.8%</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500～1000万元</w:t>
            </w:r>
          </w:p>
        </w:tc>
        <w:tc>
          <w:tcPr>
            <w:tcW w:w="1755" w:type="dxa"/>
          </w:tcPr>
          <w:p>
            <w:pPr>
              <w:jc w:val="center"/>
              <w:rPr>
                <w:rFonts w:ascii="宋体" w:hAnsi="宋体" w:cs="宋体"/>
                <w:szCs w:val="21"/>
              </w:rPr>
            </w:pPr>
            <w:r>
              <w:rPr>
                <w:rFonts w:hint="eastAsia" w:ascii="宋体" w:hAnsi="宋体" w:cs="宋体"/>
                <w:kern w:val="0"/>
                <w:szCs w:val="21"/>
              </w:rPr>
              <w:t>0.8%</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0.45%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1000～5000万元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0.5%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0.25%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5000万元～1亿元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0.25%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0.1%</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1～5亿元</w:t>
            </w:r>
          </w:p>
        </w:tc>
        <w:tc>
          <w:tcPr>
            <w:tcW w:w="1755" w:type="dxa"/>
          </w:tcPr>
          <w:p>
            <w:pPr>
              <w:ind w:firstLine="210" w:firstLineChars="100"/>
              <w:jc w:val="center"/>
              <w:rPr>
                <w:rFonts w:ascii="宋体" w:hAnsi="宋体" w:cs="宋体"/>
                <w:szCs w:val="21"/>
              </w:rPr>
            </w:pPr>
            <w:r>
              <w:rPr>
                <w:rFonts w:hint="eastAsia" w:ascii="宋体" w:hAnsi="宋体" w:cs="宋体"/>
                <w:szCs w:val="21"/>
              </w:rPr>
              <w:t>0.05%</w:t>
            </w:r>
          </w:p>
        </w:tc>
        <w:tc>
          <w:tcPr>
            <w:tcW w:w="1682" w:type="dxa"/>
          </w:tcPr>
          <w:p>
            <w:pPr>
              <w:jc w:val="center"/>
              <w:rPr>
                <w:rFonts w:ascii="宋体" w:hAnsi="宋体" w:cs="宋体"/>
                <w:szCs w:val="21"/>
              </w:rPr>
            </w:pPr>
            <w:r>
              <w:rPr>
                <w:rFonts w:hint="eastAsia" w:ascii="宋体" w:hAnsi="宋体" w:cs="宋体"/>
                <w:szCs w:val="21"/>
              </w:rPr>
              <w:t>0.05%</w:t>
            </w:r>
          </w:p>
        </w:tc>
        <w:tc>
          <w:tcPr>
            <w:tcW w:w="2186" w:type="dxa"/>
          </w:tcPr>
          <w:p>
            <w:pPr>
              <w:jc w:val="center"/>
              <w:rPr>
                <w:rFonts w:ascii="宋体" w:hAnsi="宋体" w:cs="宋体"/>
                <w:szCs w:val="21"/>
              </w:rPr>
            </w:pPr>
            <w:r>
              <w:rPr>
                <w:rFonts w:hint="eastAsia" w:ascii="宋体" w:hAnsi="宋体" w:cs="宋体"/>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5～10亿元</w:t>
            </w:r>
          </w:p>
        </w:tc>
        <w:tc>
          <w:tcPr>
            <w:tcW w:w="1755" w:type="dxa"/>
          </w:tcPr>
          <w:p>
            <w:pPr>
              <w:ind w:firstLine="105" w:firstLineChars="50"/>
              <w:jc w:val="center"/>
              <w:rPr>
                <w:rFonts w:ascii="宋体" w:hAnsi="宋体" w:cs="宋体"/>
                <w:szCs w:val="21"/>
              </w:rPr>
            </w:pPr>
            <w:r>
              <w:rPr>
                <w:rFonts w:hint="eastAsia" w:ascii="宋体" w:hAnsi="宋体" w:cs="宋体"/>
                <w:szCs w:val="21"/>
              </w:rPr>
              <w:t>0.035%</w:t>
            </w:r>
          </w:p>
        </w:tc>
        <w:tc>
          <w:tcPr>
            <w:tcW w:w="1682" w:type="dxa"/>
          </w:tcPr>
          <w:p>
            <w:pPr>
              <w:jc w:val="center"/>
              <w:rPr>
                <w:rFonts w:ascii="宋体" w:hAnsi="宋体" w:cs="宋体"/>
                <w:szCs w:val="21"/>
              </w:rPr>
            </w:pPr>
            <w:r>
              <w:rPr>
                <w:rFonts w:hint="eastAsia" w:ascii="宋体" w:hAnsi="宋体" w:cs="宋体"/>
                <w:szCs w:val="21"/>
              </w:rPr>
              <w:t>0.035%</w:t>
            </w:r>
          </w:p>
        </w:tc>
        <w:tc>
          <w:tcPr>
            <w:tcW w:w="2186" w:type="dxa"/>
          </w:tcPr>
          <w:p>
            <w:pPr>
              <w:ind w:firstLine="105" w:firstLineChars="50"/>
              <w:jc w:val="center"/>
              <w:rPr>
                <w:rFonts w:ascii="宋体" w:hAnsi="宋体" w:cs="宋体"/>
                <w:szCs w:val="21"/>
              </w:rPr>
            </w:pPr>
            <w:r>
              <w:rPr>
                <w:rFonts w:hint="eastAsia" w:ascii="宋体" w:hAnsi="宋体" w:cs="宋体"/>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10～50亿元</w:t>
            </w:r>
          </w:p>
        </w:tc>
        <w:tc>
          <w:tcPr>
            <w:tcW w:w="1755" w:type="dxa"/>
          </w:tcPr>
          <w:p>
            <w:pPr>
              <w:ind w:firstLine="105" w:firstLineChars="50"/>
              <w:jc w:val="center"/>
              <w:rPr>
                <w:rFonts w:ascii="宋体" w:hAnsi="宋体" w:cs="宋体"/>
                <w:szCs w:val="21"/>
              </w:rPr>
            </w:pPr>
            <w:r>
              <w:rPr>
                <w:rFonts w:hint="eastAsia" w:ascii="宋体" w:hAnsi="宋体" w:cs="宋体"/>
                <w:szCs w:val="21"/>
              </w:rPr>
              <w:t>0.008%</w:t>
            </w:r>
          </w:p>
        </w:tc>
        <w:tc>
          <w:tcPr>
            <w:tcW w:w="1682" w:type="dxa"/>
          </w:tcPr>
          <w:p>
            <w:pPr>
              <w:ind w:firstLine="210" w:firstLineChars="100"/>
              <w:jc w:val="center"/>
              <w:rPr>
                <w:rFonts w:ascii="宋体" w:hAnsi="宋体" w:cs="宋体"/>
                <w:szCs w:val="21"/>
              </w:rPr>
            </w:pPr>
            <w:r>
              <w:rPr>
                <w:rFonts w:hint="eastAsia" w:ascii="宋体" w:hAnsi="宋体" w:cs="宋体"/>
                <w:szCs w:val="21"/>
              </w:rPr>
              <w:t>0.008%</w:t>
            </w:r>
          </w:p>
        </w:tc>
        <w:tc>
          <w:tcPr>
            <w:tcW w:w="2186" w:type="dxa"/>
          </w:tcPr>
          <w:p>
            <w:pPr>
              <w:ind w:firstLine="105" w:firstLineChars="50"/>
              <w:jc w:val="center"/>
              <w:rPr>
                <w:rFonts w:ascii="宋体" w:hAnsi="宋体" w:cs="宋体"/>
                <w:szCs w:val="21"/>
              </w:rPr>
            </w:pPr>
            <w:r>
              <w:rPr>
                <w:rFonts w:hint="eastAsia" w:ascii="宋体" w:hAnsi="宋体" w:cs="宋体"/>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50～100亿元</w:t>
            </w:r>
          </w:p>
        </w:tc>
        <w:tc>
          <w:tcPr>
            <w:tcW w:w="1755" w:type="dxa"/>
          </w:tcPr>
          <w:p>
            <w:pPr>
              <w:jc w:val="center"/>
              <w:rPr>
                <w:rFonts w:ascii="宋体" w:hAnsi="宋体" w:cs="宋体"/>
                <w:szCs w:val="21"/>
              </w:rPr>
            </w:pPr>
            <w:r>
              <w:rPr>
                <w:rFonts w:hint="eastAsia" w:ascii="宋体" w:hAnsi="宋体" w:cs="宋体"/>
                <w:szCs w:val="21"/>
              </w:rPr>
              <w:t>0.006%</w:t>
            </w:r>
          </w:p>
        </w:tc>
        <w:tc>
          <w:tcPr>
            <w:tcW w:w="1682" w:type="dxa"/>
          </w:tcPr>
          <w:p>
            <w:pPr>
              <w:ind w:firstLine="210" w:firstLineChars="100"/>
              <w:jc w:val="center"/>
              <w:rPr>
                <w:rFonts w:ascii="宋体" w:hAnsi="宋体" w:cs="宋体"/>
                <w:szCs w:val="21"/>
              </w:rPr>
            </w:pPr>
            <w:r>
              <w:rPr>
                <w:rFonts w:hint="eastAsia" w:ascii="宋体" w:hAnsi="宋体" w:cs="宋体"/>
                <w:szCs w:val="21"/>
              </w:rPr>
              <w:t>0.006%</w:t>
            </w:r>
          </w:p>
        </w:tc>
        <w:tc>
          <w:tcPr>
            <w:tcW w:w="2186" w:type="dxa"/>
          </w:tcPr>
          <w:p>
            <w:pPr>
              <w:ind w:firstLine="105" w:firstLineChars="50"/>
              <w:jc w:val="center"/>
              <w:rPr>
                <w:rFonts w:ascii="宋体" w:hAnsi="宋体" w:cs="宋体"/>
                <w:szCs w:val="21"/>
              </w:rPr>
            </w:pPr>
            <w:r>
              <w:rPr>
                <w:rFonts w:hint="eastAsia" w:ascii="宋体" w:hAnsi="宋体" w:cs="宋体"/>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rFonts w:ascii="宋体" w:hAnsi="宋体" w:cs="宋体"/>
                <w:szCs w:val="21"/>
              </w:rPr>
            </w:pPr>
            <w:r>
              <w:rPr>
                <w:rFonts w:hint="eastAsia" w:ascii="宋体" w:hAnsi="宋体" w:cs="宋体"/>
                <w:szCs w:val="21"/>
              </w:rPr>
              <w:t>100亿以上</w:t>
            </w:r>
          </w:p>
        </w:tc>
        <w:tc>
          <w:tcPr>
            <w:tcW w:w="1755" w:type="dxa"/>
          </w:tcPr>
          <w:p>
            <w:pPr>
              <w:jc w:val="center"/>
              <w:rPr>
                <w:rFonts w:ascii="宋体" w:hAnsi="宋体" w:cs="宋体"/>
                <w:szCs w:val="21"/>
              </w:rPr>
            </w:pPr>
            <w:r>
              <w:rPr>
                <w:rFonts w:hint="eastAsia" w:ascii="宋体" w:hAnsi="宋体" w:cs="宋体"/>
                <w:szCs w:val="21"/>
              </w:rPr>
              <w:t>0.004%</w:t>
            </w:r>
          </w:p>
        </w:tc>
        <w:tc>
          <w:tcPr>
            <w:tcW w:w="1682" w:type="dxa"/>
          </w:tcPr>
          <w:p>
            <w:pPr>
              <w:ind w:firstLine="210" w:firstLineChars="100"/>
              <w:jc w:val="center"/>
              <w:rPr>
                <w:rFonts w:ascii="宋体" w:hAnsi="宋体" w:cs="宋体"/>
                <w:szCs w:val="21"/>
              </w:rPr>
            </w:pPr>
            <w:r>
              <w:rPr>
                <w:rFonts w:hint="eastAsia" w:ascii="宋体" w:hAnsi="宋体" w:cs="宋体"/>
                <w:szCs w:val="21"/>
              </w:rPr>
              <w:t>0.004%</w:t>
            </w:r>
          </w:p>
        </w:tc>
        <w:tc>
          <w:tcPr>
            <w:tcW w:w="2186" w:type="dxa"/>
          </w:tcPr>
          <w:p>
            <w:pPr>
              <w:ind w:firstLine="105" w:firstLineChars="50"/>
              <w:jc w:val="center"/>
              <w:rPr>
                <w:rFonts w:ascii="宋体" w:hAnsi="宋体" w:cs="宋体"/>
                <w:szCs w:val="21"/>
              </w:rPr>
            </w:pPr>
            <w:r>
              <w:rPr>
                <w:rFonts w:hint="eastAsia" w:ascii="宋体" w:hAnsi="宋体" w:cs="宋体"/>
                <w:szCs w:val="21"/>
              </w:rPr>
              <w:t>0.004%</w:t>
            </w:r>
          </w:p>
        </w:tc>
      </w:tr>
    </w:tbl>
    <w:p>
      <w:pPr>
        <w:pStyle w:val="16"/>
        <w:ind w:firstLine="420"/>
        <w:rPr>
          <w:sz w:val="24"/>
          <w:szCs w:val="24"/>
        </w:rPr>
      </w:pPr>
      <w:r>
        <w:rPr>
          <w:rFonts w:hint="eastAsia" w:ascii="宋体" w:hAnsi="宋体" w:cs="宋体"/>
          <w:sz w:val="22"/>
          <w:szCs w:val="22"/>
        </w:rPr>
        <w:t xml:space="preserve"> </w:t>
      </w:r>
      <w:r>
        <w:rPr>
          <w:rFonts w:hint="eastAsia" w:ascii="宋体" w:hAnsi="宋体" w:cs="宋体"/>
          <w:b/>
          <w:bCs/>
          <w:sz w:val="22"/>
          <w:szCs w:val="22"/>
        </w:rPr>
        <w:t>注：按上述收费标准计算不足</w:t>
      </w:r>
      <w:r>
        <w:rPr>
          <w:rFonts w:hint="eastAsia" w:ascii="宋体" w:hAnsi="宋体" w:cs="宋体"/>
          <w:b/>
          <w:bCs/>
          <w:sz w:val="22"/>
          <w:szCs w:val="22"/>
          <w:lang w:val="en-US" w:eastAsia="zh-CN"/>
        </w:rPr>
        <w:t>300</w:t>
      </w:r>
      <w:r>
        <w:rPr>
          <w:rFonts w:hint="eastAsia" w:ascii="宋体" w:hAnsi="宋体" w:cs="宋体"/>
          <w:b/>
          <w:bCs/>
          <w:sz w:val="22"/>
          <w:szCs w:val="22"/>
        </w:rPr>
        <w:t>0元的，按</w:t>
      </w:r>
      <w:r>
        <w:rPr>
          <w:rFonts w:hint="eastAsia" w:ascii="宋体" w:hAnsi="宋体" w:cs="宋体"/>
          <w:b/>
          <w:bCs/>
          <w:sz w:val="22"/>
          <w:szCs w:val="22"/>
          <w:lang w:val="en-US" w:eastAsia="zh-CN"/>
        </w:rPr>
        <w:t>30</w:t>
      </w:r>
      <w:r>
        <w:rPr>
          <w:rFonts w:hint="eastAsia" w:ascii="宋体" w:hAnsi="宋体" w:cs="宋体"/>
          <w:b/>
          <w:bCs/>
          <w:sz w:val="22"/>
          <w:szCs w:val="22"/>
        </w:rPr>
        <w:t>00元计费。</w:t>
      </w:r>
    </w:p>
    <w:p>
      <w:pPr>
        <w:widowControl/>
        <w:spacing w:line="500" w:lineRule="exact"/>
        <w:jc w:val="left"/>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b/>
          <w:color w:val="000000"/>
        </w:rPr>
        <w:t xml:space="preserve">    </w:t>
      </w:r>
      <w:r>
        <w:rPr>
          <w:rFonts w:hint="eastAsia" w:ascii="宋体" w:hAnsi="宋体" w:cs="宋体"/>
          <w:color w:val="000000"/>
          <w:szCs w:val="21"/>
        </w:rPr>
        <w:t>27.5、成交通知书</w:t>
      </w:r>
      <w:bookmarkEnd w:id="60"/>
      <w:bookmarkEnd w:id="61"/>
      <w:bookmarkEnd w:id="62"/>
    </w:p>
    <w:p>
      <w:pPr>
        <w:pStyle w:val="20"/>
        <w:widowControl w:val="0"/>
        <w:spacing w:before="0" w:beforeAutospacing="0" w:after="0" w:afterAutospacing="0" w:line="360" w:lineRule="auto"/>
        <w:ind w:firstLine="420" w:firstLineChars="200"/>
        <w:rPr>
          <w:rFonts w:ascii="宋体" w:hAnsi="宋体" w:eastAsia="宋体" w:cs="Times New Roman"/>
          <w:kern w:val="2"/>
          <w:sz w:val="21"/>
          <w:szCs w:val="21"/>
        </w:rPr>
      </w:pPr>
      <w:bookmarkStart w:id="63" w:name="_Toc23509"/>
      <w:r>
        <w:rPr>
          <w:rFonts w:hint="eastAsia" w:ascii="宋体" w:hAnsi="宋体" w:eastAsia="宋体" w:cs="宋体"/>
          <w:kern w:val="2"/>
          <w:sz w:val="21"/>
          <w:szCs w:val="20"/>
        </w:rPr>
        <w:t>采购人在评审报告推荐的成</w:t>
      </w:r>
      <w:r>
        <w:rPr>
          <w:rFonts w:hint="eastAsia" w:ascii="宋体" w:hAnsi="宋体" w:eastAsia="宋体" w:cs="宋体"/>
          <w:kern w:val="2"/>
          <w:sz w:val="21"/>
          <w:szCs w:val="20"/>
          <w:highlight w:val="none"/>
        </w:rPr>
        <w:t>交候选人中按顺序确定成交人。采购人将向成交人发出成交通</w:t>
      </w:r>
      <w:r>
        <w:rPr>
          <w:rFonts w:hint="eastAsia" w:ascii="宋体" w:hAnsi="宋体" w:eastAsia="宋体" w:cs="Times New Roman"/>
          <w:kern w:val="2"/>
          <w:sz w:val="21"/>
          <w:szCs w:val="21"/>
          <w:highlight w:val="none"/>
        </w:rPr>
        <w:t>知书，同时在安庆市皖宜项目咨询管理有限公司（http://wyxmzx.com/index.html）</w:t>
      </w:r>
      <w:r>
        <w:rPr>
          <w:rFonts w:hint="eastAsia" w:ascii="宋体" w:hAnsi="宋体" w:eastAsia="宋体" w:cs="Times New Roman"/>
          <w:kern w:val="2"/>
          <w:sz w:val="21"/>
          <w:szCs w:val="21"/>
          <w:highlight w:val="none"/>
          <w:lang w:eastAsia="zh-CN"/>
        </w:rPr>
        <w:t>、安庆新闻网（http://www.aqnews.com.cn）</w:t>
      </w:r>
      <w:r>
        <w:rPr>
          <w:rFonts w:hint="eastAsia" w:ascii="宋体" w:hAnsi="宋体" w:eastAsia="宋体" w:cs="Times New Roman"/>
          <w:kern w:val="2"/>
          <w:sz w:val="21"/>
          <w:szCs w:val="21"/>
          <w:highlight w:val="none"/>
        </w:rPr>
        <w:t>上公告成交结果</w:t>
      </w:r>
      <w:r>
        <w:rPr>
          <w:rFonts w:hint="eastAsia" w:ascii="宋体" w:hAnsi="宋体" w:eastAsia="宋体" w:cs="Times New Roman"/>
          <w:kern w:val="2"/>
          <w:sz w:val="21"/>
          <w:szCs w:val="21"/>
        </w:rPr>
        <w:t>。供应商如有质疑、投诉，必须在成交公告约定的质疑、投诉期内以书面形式向有关机构提出。</w:t>
      </w:r>
    </w:p>
    <w:p>
      <w:pPr>
        <w:spacing w:line="360" w:lineRule="auto"/>
        <w:ind w:firstLine="420"/>
        <w:jc w:val="left"/>
        <w:rPr>
          <w:rFonts w:ascii="宋体"/>
          <w:szCs w:val="21"/>
        </w:rPr>
      </w:pPr>
      <w:r>
        <w:rPr>
          <w:rFonts w:hint="eastAsia" w:ascii="宋体" w:hAnsi="宋体"/>
          <w:szCs w:val="21"/>
        </w:rPr>
        <w:t>27</w:t>
      </w:r>
      <w:r>
        <w:rPr>
          <w:rFonts w:ascii="宋体" w:hAnsi="宋体"/>
          <w:szCs w:val="21"/>
        </w:rPr>
        <w:t>.6</w:t>
      </w:r>
      <w:r>
        <w:rPr>
          <w:rFonts w:hint="eastAsia" w:ascii="宋体" w:hAnsi="宋体"/>
          <w:szCs w:val="21"/>
        </w:rPr>
        <w:t>、根据相关规定，对中标或成交结果提出质疑的，为中标或成交结果公告期限届满之日起七个工作日内以书面形式向采购人提出。建议在成交公告质疑期满（无异议）后，采购人与成交人签订采购合同。</w:t>
      </w:r>
    </w:p>
    <w:p>
      <w:pPr>
        <w:widowControl/>
        <w:spacing w:line="500" w:lineRule="exact"/>
        <w:jc w:val="left"/>
        <w:outlineLvl w:val="2"/>
        <w:rPr>
          <w:rFonts w:ascii="宋体" w:hAnsi="宋体" w:cs="宋体"/>
          <w:b/>
          <w:bCs/>
          <w:szCs w:val="21"/>
        </w:rPr>
      </w:pPr>
      <w:r>
        <w:rPr>
          <w:rFonts w:hint="eastAsia" w:ascii="宋体" w:hAnsi="宋体" w:cs="宋体"/>
          <w:b/>
          <w:bCs/>
          <w:color w:val="000000"/>
          <w:szCs w:val="21"/>
        </w:rPr>
        <w:t xml:space="preserve">    </w:t>
      </w:r>
      <w:bookmarkEnd w:id="63"/>
      <w:r>
        <w:rPr>
          <w:rFonts w:hint="eastAsia" w:ascii="宋体" w:hAnsi="宋体" w:cs="宋体"/>
          <w:b/>
          <w:bCs/>
          <w:szCs w:val="21"/>
        </w:rPr>
        <w:t xml:space="preserve">    </w:t>
      </w:r>
      <w:bookmarkStart w:id="64" w:name="_Toc54939197"/>
      <w:r>
        <w:rPr>
          <w:rFonts w:hint="eastAsia" w:ascii="宋体" w:hAnsi="宋体" w:cs="宋体"/>
          <w:b/>
          <w:bCs/>
          <w:szCs w:val="21"/>
        </w:rPr>
        <w:t>七、合同授予</w:t>
      </w:r>
      <w:bookmarkEnd w:id="64"/>
    </w:p>
    <w:p>
      <w:pPr>
        <w:widowControl/>
        <w:spacing w:line="500" w:lineRule="exact"/>
        <w:jc w:val="left"/>
        <w:rPr>
          <w:rFonts w:ascii="宋体" w:hAnsi="宋体" w:cs="宋体"/>
          <w:szCs w:val="21"/>
        </w:rPr>
      </w:pPr>
      <w:r>
        <w:rPr>
          <w:rFonts w:hint="eastAsia" w:ascii="宋体" w:hAnsi="宋体" w:cs="宋体"/>
          <w:szCs w:val="21"/>
        </w:rPr>
        <w:t xml:space="preserve">    28、</w:t>
      </w:r>
      <w:bookmarkStart w:id="65" w:name="_Toc417655923"/>
      <w:bookmarkStart w:id="66" w:name="_Toc418517860"/>
      <w:bookmarkStart w:id="67" w:name="_Toc21358"/>
      <w:r>
        <w:rPr>
          <w:rFonts w:hint="eastAsia" w:ascii="宋体" w:hAnsi="宋体" w:cs="宋体"/>
          <w:szCs w:val="21"/>
        </w:rPr>
        <w:t>签订合同</w:t>
      </w:r>
      <w:bookmarkEnd w:id="65"/>
      <w:bookmarkEnd w:id="66"/>
      <w:bookmarkEnd w:id="67"/>
    </w:p>
    <w:p>
      <w:pPr>
        <w:widowControl/>
        <w:spacing w:line="500" w:lineRule="exact"/>
        <w:jc w:val="left"/>
        <w:rPr>
          <w:rFonts w:ascii="宋体" w:hAnsi="宋体" w:cs="宋体"/>
          <w:szCs w:val="21"/>
        </w:rPr>
      </w:pPr>
      <w:r>
        <w:rPr>
          <w:rFonts w:hint="eastAsia" w:ascii="宋体" w:hAnsi="宋体" w:cs="宋体"/>
          <w:szCs w:val="21"/>
        </w:rPr>
        <w:t xml:space="preserve">    28.1、成交人的成交价即为合同价款。</w:t>
      </w:r>
    </w:p>
    <w:p>
      <w:pPr>
        <w:widowControl/>
        <w:spacing w:line="500" w:lineRule="exact"/>
        <w:ind w:firstLine="420"/>
        <w:jc w:val="left"/>
        <w:rPr>
          <w:rFonts w:ascii="宋体" w:hAnsi="宋体" w:cs="宋体"/>
          <w:szCs w:val="21"/>
        </w:rPr>
      </w:pPr>
      <w:r>
        <w:rPr>
          <w:rFonts w:hint="eastAsia" w:ascii="宋体" w:hAnsi="宋体" w:cs="宋体"/>
          <w:szCs w:val="21"/>
        </w:rPr>
        <w:t xml:space="preserve">28.2、成交人在收到成交通知书起7工作日内，与采购人签订合同。    </w:t>
      </w:r>
    </w:p>
    <w:p>
      <w:pPr>
        <w:widowControl/>
        <w:spacing w:line="500" w:lineRule="exact"/>
        <w:ind w:firstLine="420"/>
        <w:jc w:val="left"/>
        <w:rPr>
          <w:rFonts w:ascii="宋体" w:hAnsi="宋体" w:cs="宋体"/>
          <w:szCs w:val="21"/>
        </w:rPr>
      </w:pPr>
      <w:r>
        <w:rPr>
          <w:rFonts w:hint="eastAsia" w:ascii="宋体" w:hAnsi="宋体" w:cs="宋体"/>
          <w:szCs w:val="21"/>
        </w:rPr>
        <w:t xml:space="preserve">28.3、成交人拒绝与采购人签订合同的，采购人可以按照评审报告推荐的成交候选人名单排序，确定下一候选人为成交人，也可以重新开展政府采购活动。 </w:t>
      </w:r>
    </w:p>
    <w:p>
      <w:pPr>
        <w:widowControl/>
        <w:spacing w:line="500" w:lineRule="exact"/>
        <w:jc w:val="left"/>
        <w:rPr>
          <w:rFonts w:ascii="宋体" w:hAnsi="宋体" w:cs="宋体"/>
          <w:b/>
          <w:bCs/>
          <w:szCs w:val="21"/>
        </w:rPr>
      </w:pPr>
      <w:r>
        <w:rPr>
          <w:rFonts w:hint="eastAsia" w:ascii="宋体" w:hAnsi="宋体" w:cs="宋体"/>
          <w:b/>
          <w:bCs/>
          <w:szCs w:val="21"/>
        </w:rPr>
        <w:t xml:space="preserve">    29、履约保证金</w:t>
      </w:r>
    </w:p>
    <w:p>
      <w:pPr>
        <w:widowControl/>
        <w:spacing w:line="500" w:lineRule="exact"/>
        <w:jc w:val="left"/>
        <w:rPr>
          <w:rFonts w:ascii="宋体" w:hAnsi="宋体" w:cs="宋体"/>
          <w:szCs w:val="21"/>
        </w:rPr>
      </w:pPr>
      <w:r>
        <w:rPr>
          <w:rFonts w:hint="eastAsia" w:ascii="宋体" w:hAnsi="宋体" w:cs="宋体"/>
          <w:szCs w:val="21"/>
        </w:rPr>
        <w:t xml:space="preserve">    29.1、成交人在签订合同前必须按竞争性谈判文件的约定，及时、足额向采购人提交履约保证金。</w:t>
      </w:r>
    </w:p>
    <w:p>
      <w:pPr>
        <w:widowControl/>
        <w:spacing w:line="500" w:lineRule="exact"/>
        <w:jc w:val="left"/>
        <w:rPr>
          <w:rFonts w:ascii="宋体" w:hAnsi="宋体" w:cs="宋体"/>
          <w:szCs w:val="21"/>
        </w:rPr>
      </w:pPr>
      <w:r>
        <w:rPr>
          <w:rFonts w:hint="eastAsia" w:ascii="宋体" w:hAnsi="宋体" w:cs="宋体"/>
          <w:szCs w:val="21"/>
        </w:rPr>
        <w:t xml:space="preserve">   29.2、若成交人不能按谈判响应人须知前附表执行，采购人可在无须征得成交人同意的情况下，不与其签订合同。给采购单位造成的损失的，还应当予以赔偿。</w:t>
      </w:r>
    </w:p>
    <w:p>
      <w:pPr>
        <w:widowControl/>
        <w:spacing w:line="500" w:lineRule="exact"/>
        <w:ind w:firstLine="420"/>
        <w:jc w:val="left"/>
        <w:rPr>
          <w:rFonts w:ascii="宋体" w:hAnsi="宋体" w:cs="宋体"/>
          <w:szCs w:val="21"/>
        </w:rPr>
      </w:pPr>
      <w:r>
        <w:rPr>
          <w:rFonts w:hint="eastAsia" w:ascii="宋体" w:hAnsi="宋体" w:cs="宋体"/>
          <w:szCs w:val="21"/>
        </w:rPr>
        <w:t>29.3、履约保证金按合同条款</w:t>
      </w:r>
      <w:r>
        <w:rPr>
          <w:rFonts w:hint="eastAsia" w:ascii="宋体" w:hAnsi="宋体" w:cs="宋体"/>
          <w:kern w:val="0"/>
          <w:szCs w:val="21"/>
        </w:rPr>
        <w:t>约定</w:t>
      </w:r>
      <w:r>
        <w:rPr>
          <w:rFonts w:hint="eastAsia" w:ascii="宋体" w:hAnsi="宋体" w:cs="宋体"/>
          <w:szCs w:val="21"/>
        </w:rPr>
        <w:t>退还。</w:t>
      </w:r>
    </w:p>
    <w:p>
      <w:pPr>
        <w:widowControl/>
        <w:spacing w:line="500" w:lineRule="exact"/>
        <w:ind w:firstLine="420"/>
        <w:jc w:val="left"/>
        <w:rPr>
          <w:rFonts w:ascii="宋体" w:hAnsi="宋体" w:cs="宋体"/>
          <w:b/>
          <w:bCs/>
          <w:szCs w:val="21"/>
        </w:rPr>
      </w:pPr>
      <w:r>
        <w:rPr>
          <w:rFonts w:hint="eastAsia" w:ascii="宋体" w:hAnsi="宋体" w:cs="宋体"/>
          <w:b/>
          <w:bCs/>
          <w:szCs w:val="21"/>
        </w:rPr>
        <w:t>30、未尽事宜</w:t>
      </w:r>
    </w:p>
    <w:p>
      <w:pPr>
        <w:widowControl/>
        <w:spacing w:line="500" w:lineRule="exact"/>
        <w:ind w:firstLine="420"/>
        <w:jc w:val="left"/>
        <w:rPr>
          <w:rFonts w:ascii="宋体" w:hAnsi="宋体" w:cs="宋体"/>
          <w:szCs w:val="21"/>
        </w:rPr>
      </w:pPr>
      <w:r>
        <w:rPr>
          <w:rFonts w:hint="eastAsia" w:ascii="宋体" w:hAnsi="宋体" w:cs="宋体"/>
          <w:szCs w:val="21"/>
        </w:rPr>
        <w:t>按《中华人民共和国政府采购法》、《中华人民共和国政府采购法实施条例》及其他有关法律法规规定执行。</w:t>
      </w:r>
    </w:p>
    <w:p>
      <w:pPr>
        <w:widowControl/>
        <w:jc w:val="left"/>
        <w:rPr>
          <w:rFonts w:ascii="宋体" w:hAnsi="宋体" w:cs="宋体"/>
          <w:szCs w:val="21"/>
        </w:rPr>
      </w:pPr>
      <w:r>
        <w:rPr>
          <w:rFonts w:ascii="宋体" w:hAnsi="宋体" w:cs="宋体"/>
          <w:szCs w:val="21"/>
        </w:rPr>
        <w:br w:type="page"/>
      </w:r>
    </w:p>
    <w:p>
      <w:pPr>
        <w:pStyle w:val="3"/>
        <w:rPr>
          <w:rFonts w:hint="default" w:ascii="宋体" w:hAnsi="宋体常规" w:eastAsia="宋体" w:cs="宋体"/>
          <w:b/>
          <w:bCs/>
          <w:kern w:val="0"/>
          <w:sz w:val="30"/>
          <w:szCs w:val="30"/>
          <w:lang w:val="en-US" w:eastAsia="zh-CN"/>
        </w:rPr>
      </w:pPr>
      <w:bookmarkStart w:id="68" w:name="_Toc18076"/>
      <w:bookmarkStart w:id="69" w:name="_Toc15203"/>
      <w:bookmarkStart w:id="70" w:name="_Toc28823"/>
      <w:r>
        <w:rPr>
          <w:rFonts w:hint="eastAsia" w:ascii="宋体" w:hAnsi="宋体" w:cs="宋体"/>
          <w:color w:val="000000"/>
        </w:rPr>
        <w:t xml:space="preserve">第三章 </w:t>
      </w:r>
      <w:bookmarkEnd w:id="68"/>
      <w:bookmarkEnd w:id="69"/>
      <w:bookmarkEnd w:id="70"/>
      <w:r>
        <w:rPr>
          <w:rFonts w:hint="eastAsia" w:ascii="宋体" w:hAnsi="宋体" w:cs="宋体"/>
          <w:color w:val="000000"/>
        </w:rPr>
        <w:t>项目需求</w:t>
      </w:r>
    </w:p>
    <w:p>
      <w:pPr>
        <w:widowControl/>
        <w:shd w:val="clear" w:color="auto" w:fill="FFFFFF"/>
        <w:spacing w:line="495" w:lineRule="atLeast"/>
        <w:jc w:val="left"/>
        <w:outlineLvl w:val="1"/>
        <w:rPr>
          <w:rFonts w:ascii="宋体" w:hAnsi="宋体" w:eastAsia="宋体" w:cs="宋体"/>
          <w:b/>
          <w:kern w:val="0"/>
          <w:sz w:val="32"/>
          <w:szCs w:val="32"/>
          <w:shd w:val="clear" w:color="auto" w:fill="FFFFFF"/>
        </w:rPr>
      </w:pPr>
      <w:bookmarkStart w:id="71" w:name="_Toc69307889"/>
      <w:bookmarkStart w:id="72" w:name="_Toc29982"/>
      <w:r>
        <w:rPr>
          <w:rFonts w:hint="eastAsia" w:ascii="宋体" w:hAnsi="宋体" w:eastAsia="宋体" w:cs="Arial"/>
          <w:b/>
          <w:kern w:val="0"/>
          <w:sz w:val="32"/>
          <w:szCs w:val="32"/>
        </w:rPr>
        <w:t>一、项目概况</w:t>
      </w:r>
      <w:bookmarkEnd w:id="71"/>
      <w:bookmarkEnd w:id="72"/>
    </w:p>
    <w:p>
      <w:pPr>
        <w:spacing w:line="360" w:lineRule="auto"/>
        <w:ind w:firstLine="480" w:firstLineChars="200"/>
        <w:rPr>
          <w:rFonts w:hint="eastAsia" w:ascii="宋体" w:hAnsi="宋体" w:eastAsia="宋体" w:cs="Arial"/>
          <w:kern w:val="0"/>
          <w:sz w:val="24"/>
          <w:szCs w:val="20"/>
        </w:rPr>
      </w:pPr>
      <w:r>
        <w:rPr>
          <w:rFonts w:hint="eastAsia" w:ascii="宋体" w:hAnsi="宋体" w:eastAsia="宋体" w:cs="Arial"/>
          <w:kern w:val="0"/>
          <w:sz w:val="24"/>
          <w:szCs w:val="20"/>
        </w:rPr>
        <w:t>为落实国家网络安全等级保护制度，根据《中华人民共和国网络安全法》、《中华人民共和国数据安全法》、《信息安全等级保护管理办法》（公通字[2007]43号）等法律法规文件要求，对安庆市新闻传媒中心重要信息系统按照网络安全等级保护2.0标准开展网络安全等级保护三级测评工作，以全面提高安庆市新闻传媒中心重要信息系统的网络安全和防护水平，并为后续的安全建设和整改工作提供建议和决策依据。</w:t>
      </w:r>
      <w:r>
        <w:rPr>
          <w:rFonts w:hint="eastAsia" w:ascii="宋体" w:hAnsi="宋体" w:eastAsia="宋体" w:cs="Arial"/>
          <w:kern w:val="0"/>
          <w:sz w:val="24"/>
          <w:szCs w:val="20"/>
          <w:lang w:eastAsia="zh-CN"/>
        </w:rPr>
        <w:t>安庆市新闻传媒中心网络安全等级保护测评服务项目（二次）</w:t>
      </w:r>
      <w:r>
        <w:rPr>
          <w:rFonts w:hint="eastAsia" w:ascii="宋体" w:hAnsi="宋体" w:eastAsia="宋体" w:cs="Arial"/>
          <w:kern w:val="0"/>
          <w:sz w:val="24"/>
          <w:szCs w:val="20"/>
        </w:rPr>
        <w:t>主要包含《安庆日报社融媒体中央厨房信息系统》和原安庆广播电视台《融媒体广播电视制播系统》两个三级等保复评，网络安全培训及网络安全应急保护工作。</w:t>
      </w:r>
    </w:p>
    <w:p>
      <w:pPr>
        <w:widowControl/>
        <w:shd w:val="clear" w:color="auto" w:fill="FFFFFF"/>
        <w:spacing w:line="495" w:lineRule="atLeast"/>
        <w:jc w:val="left"/>
        <w:outlineLvl w:val="1"/>
        <w:rPr>
          <w:rFonts w:ascii="宋体" w:hAnsi="宋体" w:eastAsia="宋体" w:cs="Arial"/>
          <w:b/>
          <w:kern w:val="0"/>
          <w:sz w:val="32"/>
          <w:szCs w:val="32"/>
        </w:rPr>
      </w:pPr>
      <w:bookmarkStart w:id="73" w:name="_Toc11872"/>
      <w:bookmarkStart w:id="74" w:name="_Toc69307890"/>
      <w:r>
        <w:rPr>
          <w:rFonts w:hint="eastAsia" w:ascii="宋体" w:hAnsi="宋体" w:eastAsia="宋体" w:cs="Arial"/>
          <w:b/>
          <w:kern w:val="0"/>
          <w:sz w:val="32"/>
          <w:szCs w:val="32"/>
        </w:rPr>
        <w:t>二、项目实施服务范围</w:t>
      </w:r>
      <w:bookmarkEnd w:id="73"/>
      <w:bookmarkEnd w:id="74"/>
    </w:p>
    <w:p>
      <w:pPr>
        <w:spacing w:line="360" w:lineRule="auto"/>
        <w:ind w:firstLine="480" w:firstLineChars="200"/>
        <w:rPr>
          <w:rFonts w:hint="eastAsia" w:ascii="宋体" w:hAnsi="宋体" w:eastAsia="宋体" w:cs="Arial"/>
          <w:kern w:val="0"/>
          <w:sz w:val="24"/>
          <w:szCs w:val="20"/>
        </w:rPr>
      </w:pPr>
      <w:r>
        <w:rPr>
          <w:rFonts w:hint="eastAsia" w:ascii="宋体" w:hAnsi="宋体" w:eastAsia="宋体" w:cs="Arial"/>
          <w:kern w:val="0"/>
          <w:sz w:val="24"/>
          <w:szCs w:val="20"/>
        </w:rPr>
        <w:t>项目服务范围主要包括《安庆日报社融媒体中央厨房信息系统》和原安庆广播电视台《融媒体广播电视制播系统》两个信息系统的三级等保复评工作，同时提供网络安全培训及网络安全应急保护处置工作。</w:t>
      </w:r>
    </w:p>
    <w:p>
      <w:pPr>
        <w:spacing w:line="360" w:lineRule="auto"/>
        <w:ind w:firstLine="480" w:firstLineChars="200"/>
        <w:rPr>
          <w:rFonts w:ascii="宋体" w:hAnsi="宋体" w:eastAsia="宋体" w:cs="Arial"/>
          <w:kern w:val="0"/>
          <w:sz w:val="24"/>
          <w:szCs w:val="20"/>
        </w:rPr>
      </w:pPr>
      <w:r>
        <w:rPr>
          <w:rFonts w:hint="eastAsia" w:ascii="宋体" w:hAnsi="宋体" w:eastAsia="宋体" w:cs="Arial"/>
          <w:kern w:val="0"/>
          <w:sz w:val="24"/>
          <w:szCs w:val="20"/>
        </w:rPr>
        <w:t>1、本次参于安全等级保护测评的信息系统为：</w:t>
      </w:r>
    </w:p>
    <w:tbl>
      <w:tblPr>
        <w:tblStyle w:val="23"/>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6375"/>
        <w:gridCol w:w="1669"/>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8" w:type="dxa"/>
            <w:shd w:val="clear" w:color="000000" w:fill="F2F2F2"/>
            <w:noWrap w:val="0"/>
            <w:vAlign w:val="top"/>
          </w:tcPr>
          <w:p>
            <w:pPr>
              <w:widowControl/>
              <w:spacing w:line="360" w:lineRule="auto"/>
              <w:contextualSpacing/>
              <w:jc w:val="center"/>
              <w:rPr>
                <w:rFonts w:ascii="宋体" w:hAnsi="宋体" w:eastAsia="宋体" w:cs="宋体"/>
                <w:kern w:val="0"/>
                <w:sz w:val="24"/>
                <w:szCs w:val="24"/>
              </w:rPr>
            </w:pPr>
            <w:bookmarkStart w:id="75" w:name="_Toc69307891"/>
            <w:r>
              <w:rPr>
                <w:rFonts w:hint="eastAsia" w:ascii="宋体" w:hAnsi="宋体" w:eastAsia="宋体" w:cs="宋体"/>
                <w:kern w:val="0"/>
                <w:sz w:val="24"/>
                <w:szCs w:val="24"/>
              </w:rPr>
              <w:t>序号</w:t>
            </w:r>
          </w:p>
        </w:tc>
        <w:tc>
          <w:tcPr>
            <w:tcW w:w="6375" w:type="dxa"/>
            <w:shd w:val="clear" w:color="000000" w:fill="F2F2F2"/>
            <w:noWrap w:val="0"/>
            <w:vAlign w:val="top"/>
          </w:tcPr>
          <w:p>
            <w:pPr>
              <w:widowControl/>
              <w:spacing w:line="360" w:lineRule="auto"/>
              <w:contextualSpacing/>
              <w:jc w:val="center"/>
              <w:rPr>
                <w:rFonts w:ascii="宋体" w:hAnsi="宋体" w:eastAsia="宋体" w:cs="宋体"/>
                <w:kern w:val="0"/>
                <w:sz w:val="24"/>
                <w:szCs w:val="24"/>
              </w:rPr>
            </w:pPr>
            <w:r>
              <w:rPr>
                <w:rFonts w:hint="eastAsia" w:ascii="宋体" w:hAnsi="宋体" w:eastAsia="宋体" w:cs="宋体"/>
                <w:kern w:val="0"/>
                <w:sz w:val="24"/>
                <w:szCs w:val="24"/>
              </w:rPr>
              <w:t>系统名称</w:t>
            </w:r>
          </w:p>
        </w:tc>
        <w:tc>
          <w:tcPr>
            <w:tcW w:w="1669" w:type="dxa"/>
            <w:shd w:val="clear" w:color="000000" w:fill="F2F2F2"/>
            <w:noWrap w:val="0"/>
            <w:vAlign w:val="top"/>
          </w:tcPr>
          <w:p>
            <w:pPr>
              <w:widowControl/>
              <w:spacing w:line="360" w:lineRule="auto"/>
              <w:contextualSpacing/>
              <w:jc w:val="center"/>
              <w:rPr>
                <w:rFonts w:ascii="宋体" w:hAnsi="宋体" w:eastAsia="宋体" w:cs="宋体"/>
                <w:kern w:val="0"/>
                <w:sz w:val="24"/>
                <w:szCs w:val="24"/>
              </w:rPr>
            </w:pPr>
            <w:r>
              <w:rPr>
                <w:rFonts w:hint="eastAsia" w:ascii="宋体" w:hAnsi="宋体" w:eastAsia="宋体" w:cs="宋体"/>
                <w:kern w:val="0"/>
                <w:sz w:val="24"/>
                <w:szCs w:val="24"/>
              </w:rPr>
              <w:t>安全保护等级</w:t>
            </w:r>
          </w:p>
        </w:tc>
        <w:tc>
          <w:tcPr>
            <w:tcW w:w="793" w:type="dxa"/>
            <w:shd w:val="clear" w:color="000000" w:fill="F2F2F2"/>
            <w:noWrap w:val="0"/>
            <w:vAlign w:val="top"/>
          </w:tcPr>
          <w:p>
            <w:pPr>
              <w:widowControl/>
              <w:spacing w:line="360" w:lineRule="auto"/>
              <w:contextualSpacing/>
              <w:jc w:val="center"/>
              <w:rPr>
                <w:rFonts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8" w:type="dxa"/>
            <w:noWrap w:val="0"/>
            <w:vAlign w:val="top"/>
          </w:tcPr>
          <w:p>
            <w:pPr>
              <w:widowControl/>
              <w:spacing w:line="360" w:lineRule="auto"/>
              <w:contextualSpacing/>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6375" w:type="dxa"/>
            <w:noWrap w:val="0"/>
            <w:vAlign w:val="top"/>
          </w:tcPr>
          <w:p>
            <w:pPr>
              <w:widowControl/>
              <w:spacing w:line="360" w:lineRule="auto"/>
              <w:contextualSpacing/>
              <w:jc w:val="left"/>
              <w:rPr>
                <w:rFonts w:ascii="宋体" w:hAnsi="宋体" w:eastAsia="宋体" w:cs="宋体"/>
                <w:kern w:val="0"/>
                <w:sz w:val="24"/>
                <w:szCs w:val="24"/>
              </w:rPr>
            </w:pPr>
            <w:r>
              <w:rPr>
                <w:rFonts w:hint="eastAsia" w:ascii="宋体" w:hAnsi="宋体" w:eastAsia="宋体" w:cs="宋体"/>
                <w:kern w:val="0"/>
                <w:sz w:val="24"/>
                <w:szCs w:val="24"/>
              </w:rPr>
              <w:t>融媒体中央厨房系统（原安庆日报社信息系统）</w:t>
            </w:r>
          </w:p>
        </w:tc>
        <w:tc>
          <w:tcPr>
            <w:tcW w:w="1669" w:type="dxa"/>
            <w:noWrap w:val="0"/>
            <w:vAlign w:val="top"/>
          </w:tcPr>
          <w:p>
            <w:pPr>
              <w:widowControl/>
              <w:spacing w:line="360" w:lineRule="auto"/>
              <w:contextualSpacing/>
              <w:jc w:val="center"/>
              <w:rPr>
                <w:rFonts w:ascii="宋体" w:hAnsi="宋体" w:eastAsia="宋体" w:cs="宋体"/>
                <w:kern w:val="0"/>
                <w:sz w:val="24"/>
                <w:szCs w:val="24"/>
              </w:rPr>
            </w:pPr>
            <w:r>
              <w:rPr>
                <w:rFonts w:hint="eastAsia" w:ascii="宋体" w:hAnsi="宋体" w:eastAsia="宋体" w:cs="宋体"/>
                <w:kern w:val="0"/>
                <w:sz w:val="24"/>
                <w:szCs w:val="24"/>
              </w:rPr>
              <w:t>三级</w:t>
            </w:r>
          </w:p>
        </w:tc>
        <w:tc>
          <w:tcPr>
            <w:tcW w:w="793" w:type="dxa"/>
            <w:noWrap w:val="0"/>
            <w:vAlign w:val="top"/>
          </w:tcPr>
          <w:p>
            <w:pPr>
              <w:widowControl/>
              <w:spacing w:line="360" w:lineRule="auto"/>
              <w:contextualSpacing/>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8" w:type="dxa"/>
            <w:noWrap w:val="0"/>
            <w:vAlign w:val="top"/>
          </w:tcPr>
          <w:p>
            <w:pPr>
              <w:widowControl/>
              <w:spacing w:line="360" w:lineRule="auto"/>
              <w:contextualSpacing/>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6375" w:type="dxa"/>
            <w:noWrap w:val="0"/>
            <w:vAlign w:val="top"/>
          </w:tcPr>
          <w:p>
            <w:pPr>
              <w:widowControl/>
              <w:spacing w:line="360" w:lineRule="auto"/>
              <w:contextualSpacing/>
              <w:jc w:val="left"/>
              <w:rPr>
                <w:rFonts w:ascii="宋体" w:hAnsi="宋体" w:eastAsia="宋体" w:cs="宋体"/>
                <w:kern w:val="0"/>
                <w:sz w:val="24"/>
                <w:szCs w:val="24"/>
              </w:rPr>
            </w:pPr>
            <w:r>
              <w:rPr>
                <w:rFonts w:hint="eastAsia" w:ascii="宋体" w:hAnsi="宋体" w:eastAsia="宋体" w:cs="宋体"/>
                <w:kern w:val="0"/>
                <w:sz w:val="24"/>
                <w:szCs w:val="24"/>
              </w:rPr>
              <w:t>融媒体广播电视制播系统（原安庆市广播电视台信息系统）</w:t>
            </w:r>
          </w:p>
        </w:tc>
        <w:tc>
          <w:tcPr>
            <w:tcW w:w="1669" w:type="dxa"/>
            <w:noWrap w:val="0"/>
            <w:vAlign w:val="top"/>
          </w:tcPr>
          <w:p>
            <w:pPr>
              <w:widowControl/>
              <w:spacing w:line="360" w:lineRule="auto"/>
              <w:contextualSpacing/>
              <w:jc w:val="center"/>
              <w:rPr>
                <w:rFonts w:ascii="宋体" w:hAnsi="宋体" w:eastAsia="宋体" w:cs="宋体"/>
                <w:kern w:val="0"/>
                <w:sz w:val="24"/>
                <w:szCs w:val="24"/>
              </w:rPr>
            </w:pPr>
            <w:r>
              <w:rPr>
                <w:rFonts w:hint="eastAsia" w:ascii="宋体" w:hAnsi="宋体" w:eastAsia="宋体" w:cs="宋体"/>
                <w:kern w:val="0"/>
                <w:sz w:val="24"/>
                <w:szCs w:val="24"/>
              </w:rPr>
              <w:t>三级</w:t>
            </w:r>
          </w:p>
        </w:tc>
        <w:tc>
          <w:tcPr>
            <w:tcW w:w="793" w:type="dxa"/>
            <w:noWrap w:val="0"/>
            <w:vAlign w:val="top"/>
          </w:tcPr>
          <w:p>
            <w:pPr>
              <w:widowControl/>
              <w:spacing w:line="360" w:lineRule="auto"/>
              <w:contextualSpacing/>
              <w:rPr>
                <w:rFonts w:ascii="宋体" w:hAnsi="宋体" w:eastAsia="宋体" w:cs="宋体"/>
                <w:kern w:val="0"/>
                <w:sz w:val="24"/>
                <w:szCs w:val="24"/>
              </w:rPr>
            </w:pPr>
          </w:p>
        </w:tc>
      </w:tr>
    </w:tbl>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相关系统基本情况：</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1）、融媒体中央厨房系统（原安庆日报社信息系统）基本情况：</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融媒体中央厨房信息系统（原安庆日报社信息系统）主要承载的业务是：安庆新闻网、数字报刊平台、掌上安庆APP以及新闻采编业务模块。 </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安庆新闻网：安庆新闻网为安庆市委宣传部主管、安庆市新闻传媒中心主办，是安庆市一家以新闻宣传为主的网站。安庆新闻网包括安庆新闻、区县新闻、宜直播、专题专栏、社会民生等十多个新闻和资讯板块，为全市机关干部和市民提供一个新的了解当前市情的平台，也为省内外友好人士掌握和了解安庆的情况提供了一条便捷的时空通道。安庆新闻网后台管理系统是安庆市日报社提供实时新闻、新闻管理、网站监控等功能的管理平台。</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数字报平台：安庆日报数字报平台由安庆市新闻传媒中心主办，以满足用户对于报纸阅读的需求。数字报业技术平台和微报纸后台管理业务功能模块负责对已制作完成的新闻进行发布，并帮助对已经上线的数字报纸进行管理。</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掌上安庆APP：掌上安庆app是由安庆市新闻传媒中心为安庆人民打造的新闻资讯平台，主要由安庆号和宜直播等板块组成，用以提供政府信息、实时新闻以及生活服务等内容。</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新闻采编：安庆市新闻传媒中心新闻采编业务模块包括信息采集、编辑加工、排版、审校等功能，为新闻宣传工作减少了工作环节，提高了工作效率，缩短了出报时间，加强了新闻的时效性。</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2）、融媒体广播电视制播系统（原广播电视台信息系统）基本情况：</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融媒体广播电视制播系统</w:t>
      </w:r>
      <w:r>
        <w:rPr>
          <w:rFonts w:hint="eastAsia" w:ascii="宋体" w:hAnsi="宋体" w:eastAsia="宋体" w:cs="宋体"/>
          <w:kern w:val="0"/>
          <w:sz w:val="24"/>
          <w:szCs w:val="24"/>
        </w:rPr>
        <w:t>（原广播电视台信息系统）主要</w:t>
      </w:r>
      <w:r>
        <w:rPr>
          <w:rFonts w:hint="eastAsia" w:ascii="宋体" w:hAnsi="宋体" w:eastAsia="宋体" w:cs="宋体"/>
          <w:kern w:val="0"/>
          <w:sz w:val="24"/>
          <w:szCs w:val="24"/>
          <w:lang w:bidi="ar"/>
        </w:rPr>
        <w:t>实现融媒体广播电视多渠道内</w:t>
      </w:r>
      <w:r>
        <w:rPr>
          <w:rFonts w:hint="eastAsia" w:ascii="宋体" w:hAnsi="宋体" w:eastAsia="宋体" w:cs="宋体"/>
          <w:kern w:val="0"/>
          <w:sz w:val="24"/>
          <w:szCs w:val="24"/>
        </w:rPr>
        <w:t xml:space="preserve">容采集、统一指挥、采编调度、制作播出、高效协调、信息沟通、统一播发等融媒体广播电视制播核心功能。打造以用户为核心、以音视频为特色的融合传播，以达到延伸和扩展宣传领域和受众群体，更好地发挥党和政府的宣传喉舌作用。 </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融媒体广播电视制播系统主要包含融媒体生产制作、媒资管理、直播演播室、统一报道指挥等业务功能模块。主要承载的业务是：内容采集、统一指挥、采编调度、制作播出、高效协调、信息沟通、统一播发等。由服务器、防火墙、交换机及其相关安全配套设备、设施构成的，按照应用目标和规则对该系统采、编、播、存、管业务的数据信息进行存储、传输、检索等处理的信息系统。</w:t>
      </w:r>
    </w:p>
    <w:bookmarkEnd w:id="75"/>
    <w:p>
      <w:pPr>
        <w:widowControl/>
        <w:shd w:val="clear" w:color="auto" w:fill="FFFFFF"/>
        <w:spacing w:line="495" w:lineRule="atLeast"/>
        <w:jc w:val="left"/>
        <w:outlineLvl w:val="1"/>
        <w:rPr>
          <w:rFonts w:hint="eastAsia" w:ascii="宋体" w:hAnsi="宋体" w:eastAsia="宋体" w:cs="Arial"/>
          <w:b/>
          <w:kern w:val="0"/>
          <w:sz w:val="32"/>
          <w:szCs w:val="32"/>
        </w:rPr>
      </w:pPr>
      <w:bookmarkStart w:id="76" w:name="_Toc5018"/>
      <w:bookmarkStart w:id="77" w:name="_Toc69307892"/>
      <w:r>
        <w:rPr>
          <w:rFonts w:hint="eastAsia" w:ascii="宋体" w:hAnsi="宋体" w:eastAsia="宋体" w:cs="Arial"/>
          <w:b/>
          <w:kern w:val="0"/>
          <w:sz w:val="32"/>
          <w:szCs w:val="32"/>
        </w:rPr>
        <w:t>三、项目服务内容</w:t>
      </w:r>
      <w:bookmarkEnd w:id="76"/>
    </w:p>
    <w:p>
      <w:pPr>
        <w:spacing w:line="360" w:lineRule="auto"/>
        <w:ind w:firstLine="480" w:firstLineChars="200"/>
        <w:rPr>
          <w:rFonts w:hint="eastAsia" w:ascii="宋体" w:hAnsi="宋体" w:eastAsia="宋体" w:cs="Arial"/>
          <w:kern w:val="0"/>
          <w:sz w:val="24"/>
          <w:szCs w:val="20"/>
        </w:rPr>
      </w:pPr>
      <w:r>
        <w:rPr>
          <w:rFonts w:hint="eastAsia" w:ascii="宋体" w:hAnsi="宋体" w:eastAsia="宋体" w:cs="Arial"/>
          <w:kern w:val="0"/>
          <w:sz w:val="24"/>
          <w:szCs w:val="20"/>
        </w:rPr>
        <w:t>依据《信息安全技术 网络安全等级保护基本要求》(GB/T 22239-2019)和《信息安全技术 网络安全等级保护测评要求》(GB/T 28448-2019)，以及《信息安全技术 网络安全等级保护定级指南》 (GB/T 22240-2020)等国家技术标准，对安庆市新闻传媒中心重要信息系统的定级备案提供咨询、指导，并完成信息系统的网络安全等级保护测评工作，主要内容包括：</w:t>
      </w:r>
    </w:p>
    <w:p>
      <w:pPr>
        <w:spacing w:line="360" w:lineRule="auto"/>
        <w:ind w:firstLine="480" w:firstLineChars="200"/>
        <w:rPr>
          <w:rFonts w:hint="eastAsia" w:ascii="宋体" w:hAnsi="宋体" w:eastAsia="宋体" w:cs="Arial"/>
          <w:kern w:val="0"/>
          <w:sz w:val="24"/>
          <w:szCs w:val="20"/>
        </w:rPr>
      </w:pPr>
      <w:r>
        <w:rPr>
          <w:rFonts w:hint="eastAsia" w:ascii="宋体" w:hAnsi="宋体" w:eastAsia="宋体" w:cs="Arial"/>
          <w:kern w:val="0"/>
          <w:sz w:val="24"/>
          <w:szCs w:val="20"/>
        </w:rPr>
        <w:t>1、定级备案咨询、指导：协助采购人完成安庆市新闻传媒中心重要信息系统的定级备案工作，协助撰写定级报告、备案表等内容，并提供培训、咨询和指导，协助采购人取得相应系统的备案证明。</w:t>
      </w:r>
    </w:p>
    <w:p>
      <w:pPr>
        <w:autoSpaceDE w:val="0"/>
        <w:autoSpaceDN w:val="0"/>
        <w:adjustRightInd w:val="0"/>
        <w:spacing w:line="360" w:lineRule="auto"/>
        <w:ind w:firstLine="480" w:firstLineChars="200"/>
        <w:rPr>
          <w:rFonts w:hint="eastAsia" w:ascii="宋体" w:hAnsi="宋体" w:eastAsia="宋体" w:cs="Arial"/>
          <w:sz w:val="24"/>
          <w:szCs w:val="24"/>
        </w:rPr>
      </w:pPr>
      <w:r>
        <w:rPr>
          <w:rFonts w:hint="eastAsia" w:ascii="宋体" w:hAnsi="宋体" w:eastAsia="宋体" w:cs="Arial"/>
          <w:kern w:val="0"/>
          <w:sz w:val="24"/>
          <w:szCs w:val="24"/>
        </w:rPr>
        <w:t>2、等级保护测评：从技术和管理两个层面提供网络安全等级保护测评工作，包括安全物理环境、安全通信网络、安全区域边界、安全计算环境及安全管理中心五个技术层面和安全管理机构、</w:t>
      </w:r>
      <w:r>
        <w:rPr>
          <w:rFonts w:hint="eastAsia" w:ascii="宋体" w:hAnsi="宋体" w:eastAsia="宋体" w:cs="Arial"/>
          <w:color w:val="auto"/>
          <w:kern w:val="0"/>
          <w:sz w:val="24"/>
          <w:szCs w:val="24"/>
        </w:rPr>
        <w:t>安全管理制度、安全管理人员、安全建设管理、安全运维管理五个管理层面的测评工作。</w:t>
      </w:r>
      <w:bookmarkStart w:id="78" w:name="_Toc46177952"/>
      <w:r>
        <w:rPr>
          <w:rFonts w:hint="eastAsia" w:ascii="宋体" w:hAnsi="宋体" w:eastAsia="宋体" w:cs="Arial"/>
          <w:color w:val="auto"/>
          <w:sz w:val="24"/>
          <w:szCs w:val="24"/>
        </w:rPr>
        <w:t>对信息系统</w:t>
      </w:r>
      <w:r>
        <w:rPr>
          <w:rFonts w:ascii="宋体" w:hAnsi="宋体" w:eastAsia="宋体" w:cs="宋体"/>
          <w:color w:val="auto"/>
          <w:sz w:val="24"/>
          <w:szCs w:val="24"/>
        </w:rPr>
        <w:t>进行</w:t>
      </w:r>
      <w:r>
        <w:rPr>
          <w:rFonts w:hint="eastAsia" w:ascii="宋体" w:hAnsi="宋体" w:eastAsia="宋体" w:cs="宋体"/>
          <w:color w:val="auto"/>
          <w:sz w:val="24"/>
          <w:szCs w:val="24"/>
        </w:rPr>
        <w:t>每年不少于2次</w:t>
      </w:r>
      <w:r>
        <w:rPr>
          <w:rFonts w:ascii="宋体" w:hAnsi="宋体" w:eastAsia="宋体" w:cs="宋体"/>
          <w:color w:val="auto"/>
          <w:sz w:val="24"/>
          <w:szCs w:val="24"/>
        </w:rPr>
        <w:t>的</w:t>
      </w:r>
      <w:r>
        <w:rPr>
          <w:rFonts w:hint="eastAsia" w:ascii="宋体" w:hAnsi="宋体" w:eastAsia="宋体" w:cs="Arial"/>
          <w:color w:val="auto"/>
          <w:sz w:val="24"/>
          <w:szCs w:val="24"/>
        </w:rPr>
        <w:t>漏洞扫描、渗透测试服务工作，并提供相应安全测评</w:t>
      </w:r>
      <w:r>
        <w:rPr>
          <w:rFonts w:hint="eastAsia" w:ascii="宋体" w:hAnsi="宋体" w:eastAsia="宋体" w:cs="Arial"/>
          <w:color w:val="auto"/>
          <w:sz w:val="24"/>
          <w:szCs w:val="24"/>
          <w:lang w:val="en-US" w:eastAsia="zh-CN"/>
        </w:rPr>
        <w:t>及评估</w:t>
      </w:r>
      <w:r>
        <w:rPr>
          <w:rFonts w:hint="eastAsia" w:ascii="宋体" w:hAnsi="宋体" w:eastAsia="宋体" w:cs="Arial"/>
          <w:color w:val="auto"/>
          <w:sz w:val="24"/>
          <w:szCs w:val="24"/>
        </w:rPr>
        <w:t>报告；</w:t>
      </w:r>
      <w:bookmarkEnd w:id="78"/>
      <w:r>
        <w:rPr>
          <w:rFonts w:hint="eastAsia" w:ascii="宋体" w:hAnsi="宋体" w:eastAsia="宋体" w:cs="Arial"/>
          <w:color w:val="FF0000"/>
          <w:sz w:val="24"/>
          <w:szCs w:val="24"/>
        </w:rPr>
        <w:t xml:space="preserve"> </w:t>
      </w:r>
    </w:p>
    <w:p>
      <w:pPr>
        <w:spacing w:line="360" w:lineRule="auto"/>
        <w:ind w:firstLine="480" w:firstLineChars="200"/>
        <w:rPr>
          <w:rFonts w:hint="eastAsia" w:ascii="宋体" w:hAnsi="宋体" w:eastAsia="宋体" w:cs="Arial"/>
          <w:kern w:val="0"/>
          <w:sz w:val="24"/>
          <w:szCs w:val="20"/>
        </w:rPr>
      </w:pPr>
      <w:r>
        <w:rPr>
          <w:rFonts w:hint="eastAsia" w:ascii="宋体" w:hAnsi="宋体" w:eastAsia="宋体" w:cs="Arial"/>
          <w:kern w:val="0"/>
          <w:sz w:val="24"/>
          <w:szCs w:val="20"/>
        </w:rPr>
        <w:t>3、整改建议服务：依据现场测评中发现的问题，以《信息安全技术网络安全等级保护测评要求》（GB/T 28448-2019）为基础，分析与GB/T 22239-2019、ISO/IEC 27001、ISO/IEC 20000、ISO 22301、ITIL和ITSS等国家最新标准和行业最佳实践之间的差距，对安庆市新闻传媒中心重要信息系统进行网络安全等级保护现状分析，按照网络安全等级保护标准要求</w:t>
      </w:r>
      <w:r>
        <w:rPr>
          <w:rFonts w:hint="eastAsia" w:ascii="宋体" w:hAnsi="宋体" w:eastAsia="宋体" w:cs="Arial"/>
          <w:kern w:val="0"/>
          <w:sz w:val="24"/>
          <w:szCs w:val="20"/>
          <w:lang w:val="en-US" w:eastAsia="zh-CN"/>
        </w:rPr>
        <w:t>提供</w:t>
      </w:r>
      <w:r>
        <w:rPr>
          <w:rFonts w:hint="eastAsia" w:ascii="宋体" w:hAnsi="宋体" w:eastAsia="宋体" w:cs="Arial"/>
          <w:kern w:val="0"/>
          <w:sz w:val="24"/>
          <w:szCs w:val="20"/>
        </w:rPr>
        <w:t>安全整改建议报告，协助采购人进行整改。</w:t>
      </w:r>
    </w:p>
    <w:p>
      <w:pPr>
        <w:spacing w:line="360" w:lineRule="auto"/>
        <w:ind w:firstLine="480" w:firstLineChars="200"/>
        <w:rPr>
          <w:rFonts w:hint="eastAsia" w:ascii="宋体" w:hAnsi="宋体" w:eastAsia="宋体" w:cs="Arial"/>
          <w:kern w:val="0"/>
          <w:sz w:val="24"/>
          <w:szCs w:val="20"/>
        </w:rPr>
      </w:pPr>
      <w:r>
        <w:rPr>
          <w:rFonts w:hint="eastAsia" w:ascii="宋体" w:hAnsi="宋体" w:eastAsia="宋体" w:cs="Arial"/>
          <w:kern w:val="0"/>
          <w:sz w:val="24"/>
          <w:szCs w:val="20"/>
        </w:rPr>
        <w:t>4、出具报告：成交供应商出具系统漏洞扫描、渗透测试以及整改测评报告。对完成整改后的系统进行复测，并出具符合公安要求的网络安全等级保护测评报告。</w:t>
      </w:r>
    </w:p>
    <w:p>
      <w:pPr>
        <w:spacing w:line="360" w:lineRule="auto"/>
        <w:ind w:firstLine="480" w:firstLineChars="200"/>
        <w:rPr>
          <w:rFonts w:hint="eastAsia" w:ascii="宋体" w:hAnsi="宋体" w:eastAsia="宋体" w:cs="Arial"/>
          <w:color w:val="auto"/>
          <w:kern w:val="0"/>
          <w:sz w:val="24"/>
          <w:szCs w:val="20"/>
          <w:lang w:val="en-US" w:eastAsia="zh-CN"/>
        </w:rPr>
      </w:pPr>
      <w:bookmarkStart w:id="79" w:name="_Toc53217155"/>
      <w:bookmarkStart w:id="80" w:name="_Toc86321395"/>
      <w:r>
        <w:rPr>
          <w:rFonts w:hint="eastAsia" w:ascii="宋体" w:hAnsi="宋体" w:eastAsia="宋体" w:cs="Arial"/>
          <w:color w:val="auto"/>
          <w:kern w:val="0"/>
          <w:sz w:val="24"/>
          <w:szCs w:val="20"/>
          <w:lang w:val="en-US" w:eastAsia="zh-CN"/>
        </w:rPr>
        <w:t>5、信息安全培训：</w:t>
      </w:r>
      <w:bookmarkEnd w:id="79"/>
      <w:bookmarkEnd w:id="80"/>
      <w:r>
        <w:rPr>
          <w:rFonts w:hint="eastAsia" w:ascii="宋体" w:hAnsi="宋体" w:eastAsia="宋体" w:cs="Arial"/>
          <w:color w:val="auto"/>
          <w:kern w:val="0"/>
          <w:sz w:val="24"/>
          <w:szCs w:val="20"/>
          <w:lang w:val="en-US" w:eastAsia="zh-CN"/>
        </w:rPr>
        <w:t>中标人需要为采购人提供线上线下、在服务期内不少于2次的信息安全技术培训，确保管理人员和技术人员掌握关于信息系统等级保护相关规范、信息安全策略、信息保密制度，信息安全管理制度和相关流程等；全面提升采购方信息化人才队伍的安全意识和专业技能水平。</w:t>
      </w:r>
    </w:p>
    <w:p>
      <w:pPr>
        <w:spacing w:line="360" w:lineRule="auto"/>
        <w:ind w:firstLine="480" w:firstLineChars="200"/>
        <w:rPr>
          <w:rFonts w:hint="default" w:ascii="宋体" w:hAnsi="宋体" w:eastAsia="宋体" w:cs="Arial"/>
          <w:color w:val="auto"/>
          <w:kern w:val="0"/>
          <w:sz w:val="24"/>
          <w:szCs w:val="20"/>
          <w:lang w:val="en-US" w:eastAsia="zh-CN"/>
        </w:rPr>
      </w:pPr>
      <w:r>
        <w:rPr>
          <w:rFonts w:hint="eastAsia" w:ascii="宋体" w:hAnsi="宋体" w:eastAsia="宋体" w:cs="Arial"/>
          <w:color w:val="auto"/>
          <w:kern w:val="0"/>
          <w:sz w:val="24"/>
          <w:szCs w:val="20"/>
          <w:lang w:val="en-US" w:eastAsia="zh-CN"/>
        </w:rPr>
        <w:t>6、安全应急服务：</w:t>
      </w:r>
      <w:r>
        <w:rPr>
          <w:rFonts w:hint="eastAsia" w:ascii="宋体" w:hAnsi="宋体" w:eastAsia="宋体" w:cs="Arial"/>
          <w:color w:val="auto"/>
          <w:kern w:val="0"/>
          <w:sz w:val="24"/>
          <w:szCs w:val="20"/>
        </w:rPr>
        <w:t>成交供应商</w:t>
      </w:r>
      <w:r>
        <w:rPr>
          <w:rFonts w:hint="eastAsia" w:ascii="宋体" w:hAnsi="宋体" w:eastAsia="宋体" w:cs="Arial"/>
          <w:color w:val="auto"/>
          <w:kern w:val="0"/>
          <w:sz w:val="24"/>
          <w:szCs w:val="20"/>
          <w:lang w:val="en-US" w:eastAsia="zh-CN"/>
        </w:rPr>
        <w:t>在服务期内应为采购人提供安全技术支撑及应急保护处置服务，能够实时响应采购方需求，根据采购人要求提供网络安全应急保护及处置工作，以保证采购人信息系统的网络安全，需提供安全服务承诺书。</w:t>
      </w:r>
    </w:p>
    <w:p>
      <w:pPr>
        <w:widowControl/>
        <w:shd w:val="clear" w:color="auto" w:fill="FFFFFF"/>
        <w:spacing w:line="495" w:lineRule="atLeast"/>
        <w:jc w:val="left"/>
        <w:outlineLvl w:val="1"/>
        <w:rPr>
          <w:rFonts w:hint="eastAsia" w:ascii="宋体" w:hAnsi="宋体" w:eastAsia="宋体" w:cs="Arial"/>
          <w:b/>
          <w:kern w:val="0"/>
          <w:sz w:val="32"/>
          <w:szCs w:val="32"/>
        </w:rPr>
      </w:pPr>
      <w:bookmarkStart w:id="81" w:name="_Toc30614"/>
      <w:r>
        <w:rPr>
          <w:rFonts w:hint="eastAsia" w:ascii="宋体" w:hAnsi="宋体" w:eastAsia="宋体" w:cs="Arial"/>
          <w:b/>
          <w:kern w:val="0"/>
          <w:sz w:val="32"/>
          <w:szCs w:val="32"/>
        </w:rPr>
        <w:t>四、项目保密和安全管理要求</w:t>
      </w:r>
      <w:bookmarkEnd w:id="81"/>
    </w:p>
    <w:p>
      <w:pPr>
        <w:spacing w:line="360" w:lineRule="auto"/>
        <w:ind w:firstLine="480" w:firstLineChars="200"/>
        <w:rPr>
          <w:rFonts w:ascii="宋体" w:hAnsi="宋体" w:eastAsia="宋体" w:cs="Arial"/>
          <w:kern w:val="0"/>
          <w:sz w:val="24"/>
          <w:szCs w:val="20"/>
        </w:rPr>
      </w:pPr>
      <w:r>
        <w:rPr>
          <w:rFonts w:hint="eastAsia" w:ascii="宋体" w:hAnsi="宋体" w:eastAsia="宋体" w:cs="Arial"/>
          <w:kern w:val="0"/>
          <w:sz w:val="24"/>
          <w:szCs w:val="20"/>
        </w:rPr>
        <w:t>成交供应商及参与人员要遵守安全管理要求，须与采购人签定安全保密承诺书，严禁发生危害网络安全的行为和危害数据安全的行为，承诺严守工作中涉及的工作内容，严禁未征得业主方授权私自查询、复制、泄露、修改任何系统的配置参数、业务数据（违规行为包括但不限于以上行为）。违法相关规定的，成交供应商及参与人员承担一切法律责任。</w:t>
      </w:r>
    </w:p>
    <w:bookmarkEnd w:id="77"/>
    <w:p>
      <w:pPr>
        <w:widowControl/>
        <w:shd w:val="clear" w:color="auto" w:fill="FFFFFF"/>
        <w:spacing w:before="240" w:after="120" w:line="480" w:lineRule="atLeast"/>
        <w:jc w:val="left"/>
        <w:outlineLvl w:val="1"/>
        <w:rPr>
          <w:rFonts w:ascii="宋体" w:hAnsi="宋体" w:eastAsia="宋体" w:cs="Arial"/>
          <w:b/>
          <w:kern w:val="0"/>
          <w:sz w:val="32"/>
          <w:szCs w:val="32"/>
        </w:rPr>
      </w:pPr>
      <w:bookmarkStart w:id="82" w:name="_Toc31891"/>
      <w:bookmarkStart w:id="83" w:name="_Toc69307894"/>
      <w:r>
        <w:rPr>
          <w:rFonts w:hint="eastAsia" w:ascii="宋体" w:hAnsi="宋体" w:eastAsia="宋体" w:cs="Arial"/>
          <w:b/>
          <w:kern w:val="0"/>
          <w:sz w:val="32"/>
          <w:szCs w:val="32"/>
        </w:rPr>
        <w:t>五、工作要求</w:t>
      </w:r>
      <w:bookmarkEnd w:id="82"/>
      <w:bookmarkEnd w:id="83"/>
    </w:p>
    <w:p>
      <w:pPr>
        <w:autoSpaceDE w:val="0"/>
        <w:autoSpaceDN w:val="0"/>
        <w:adjustRightInd w:val="0"/>
        <w:spacing w:line="360" w:lineRule="auto"/>
        <w:ind w:firstLine="482" w:firstLineChars="200"/>
        <w:rPr>
          <w:rFonts w:ascii="宋体" w:hAnsi="宋体" w:eastAsia="宋体" w:cs="Arial"/>
          <w:b/>
          <w:bCs/>
          <w:sz w:val="24"/>
          <w:szCs w:val="24"/>
        </w:rPr>
      </w:pPr>
      <w:bookmarkStart w:id="84" w:name="_Toc46177957"/>
      <w:r>
        <w:rPr>
          <w:rFonts w:hint="eastAsia" w:ascii="宋体" w:hAnsi="宋体" w:eastAsia="宋体" w:cs="Arial"/>
          <w:b/>
          <w:bCs/>
          <w:sz w:val="24"/>
          <w:szCs w:val="24"/>
        </w:rPr>
        <w:t>1、实施原则</w:t>
      </w:r>
      <w:bookmarkEnd w:id="84"/>
    </w:p>
    <w:p>
      <w:pPr>
        <w:spacing w:line="360" w:lineRule="auto"/>
        <w:ind w:firstLine="480" w:firstLineChars="200"/>
        <w:rPr>
          <w:rFonts w:ascii="宋体" w:hAnsi="宋体" w:eastAsia="宋体" w:cs="Arial"/>
          <w:kern w:val="0"/>
          <w:sz w:val="24"/>
          <w:szCs w:val="20"/>
        </w:rPr>
      </w:pPr>
      <w:r>
        <w:rPr>
          <w:rFonts w:hint="eastAsia" w:ascii="宋体" w:hAnsi="宋体" w:eastAsia="宋体" w:cs="Arial"/>
          <w:kern w:val="0"/>
          <w:sz w:val="24"/>
          <w:szCs w:val="20"/>
        </w:rPr>
        <w:t>规范性原则：成交供应商工作中的过程和文档，具有很好的规范性，可以便于项目的跟踪和控制；</w:t>
      </w:r>
    </w:p>
    <w:p>
      <w:pPr>
        <w:spacing w:line="360" w:lineRule="auto"/>
        <w:ind w:firstLine="480" w:firstLineChars="200"/>
        <w:rPr>
          <w:rFonts w:ascii="宋体" w:hAnsi="宋体" w:eastAsia="宋体" w:cs="Arial"/>
          <w:kern w:val="0"/>
          <w:sz w:val="24"/>
          <w:szCs w:val="20"/>
        </w:rPr>
      </w:pPr>
      <w:r>
        <w:rPr>
          <w:rFonts w:hint="eastAsia" w:ascii="宋体" w:hAnsi="宋体" w:eastAsia="宋体" w:cs="Arial"/>
          <w:kern w:val="0"/>
          <w:sz w:val="24"/>
          <w:szCs w:val="20"/>
        </w:rPr>
        <w:t>标准性原则：测评方案的设计与实施应依据国家等级保护的相关标准进行。</w:t>
      </w:r>
    </w:p>
    <w:p>
      <w:pPr>
        <w:spacing w:line="360" w:lineRule="auto"/>
        <w:ind w:firstLine="480" w:firstLineChars="200"/>
        <w:rPr>
          <w:rFonts w:ascii="宋体" w:hAnsi="宋体" w:eastAsia="宋体" w:cs="Arial"/>
          <w:kern w:val="0"/>
          <w:sz w:val="24"/>
          <w:szCs w:val="20"/>
        </w:rPr>
      </w:pPr>
      <w:r>
        <w:rPr>
          <w:rFonts w:hint="eastAsia" w:ascii="宋体" w:hAnsi="宋体" w:eastAsia="宋体" w:cs="Arial"/>
          <w:kern w:val="0"/>
          <w:sz w:val="24"/>
          <w:szCs w:val="20"/>
        </w:rPr>
        <w:t>可控性原则：测评的工具、方法和过程需在双方认可的范围之内并符合进度表的安排，保证采购人对服务工作的可控性；</w:t>
      </w:r>
    </w:p>
    <w:p>
      <w:pPr>
        <w:spacing w:line="360" w:lineRule="auto"/>
        <w:ind w:firstLine="480" w:firstLineChars="200"/>
        <w:rPr>
          <w:rFonts w:ascii="宋体" w:hAnsi="宋体" w:eastAsia="宋体" w:cs="Arial"/>
          <w:kern w:val="0"/>
          <w:sz w:val="24"/>
          <w:szCs w:val="20"/>
        </w:rPr>
      </w:pPr>
      <w:r>
        <w:rPr>
          <w:rFonts w:hint="eastAsia" w:ascii="宋体" w:hAnsi="宋体" w:eastAsia="宋体" w:cs="Arial"/>
          <w:kern w:val="0"/>
          <w:sz w:val="24"/>
          <w:szCs w:val="20"/>
        </w:rPr>
        <w:t>整体性原则：测评和分析的范围和内容应当整体全面，包括安全涉及的各个层面，避免由于遗漏造成未来的安全隐患；</w:t>
      </w:r>
    </w:p>
    <w:p>
      <w:pPr>
        <w:spacing w:line="360" w:lineRule="auto"/>
        <w:ind w:firstLine="480" w:firstLineChars="200"/>
        <w:rPr>
          <w:rFonts w:ascii="宋体" w:hAnsi="宋体" w:eastAsia="宋体" w:cs="Arial"/>
          <w:kern w:val="0"/>
          <w:sz w:val="24"/>
          <w:szCs w:val="20"/>
        </w:rPr>
      </w:pPr>
      <w:r>
        <w:rPr>
          <w:rFonts w:hint="eastAsia" w:ascii="宋体" w:hAnsi="宋体" w:eastAsia="宋体" w:cs="Arial"/>
          <w:kern w:val="0"/>
          <w:sz w:val="24"/>
          <w:szCs w:val="20"/>
        </w:rPr>
        <w:t>最小影响原则：测评工作应尽可能小的影响系统和网络的正常运行，不能对现网的运行和业务的正常提供产生显著影响(包括系统性能明显下降、网络拥塞、服务中断，如无法避免出现这些情况应在应答书上详细描述)；</w:t>
      </w:r>
    </w:p>
    <w:p>
      <w:pPr>
        <w:spacing w:line="360" w:lineRule="auto"/>
        <w:ind w:firstLine="480" w:firstLineChars="200"/>
        <w:rPr>
          <w:rFonts w:ascii="宋体" w:hAnsi="宋体" w:eastAsia="宋体" w:cs="Arial"/>
          <w:kern w:val="0"/>
          <w:sz w:val="24"/>
          <w:szCs w:val="20"/>
        </w:rPr>
      </w:pPr>
      <w:r>
        <w:rPr>
          <w:rFonts w:hint="eastAsia" w:ascii="宋体" w:hAnsi="宋体" w:eastAsia="宋体" w:cs="Arial"/>
          <w:kern w:val="0"/>
          <w:sz w:val="24"/>
          <w:szCs w:val="20"/>
        </w:rPr>
        <w:t>保密原则：对测评的过程数据和结果数据严格保密，未经授权不得泄露给任何单位和个人，不得利用此数据进行任何侵害采购人网络的行为，否则采购人有权追究责任。</w:t>
      </w:r>
    </w:p>
    <w:p>
      <w:pPr>
        <w:autoSpaceDE w:val="0"/>
        <w:autoSpaceDN w:val="0"/>
        <w:adjustRightInd w:val="0"/>
        <w:spacing w:line="360" w:lineRule="auto"/>
        <w:ind w:firstLine="482" w:firstLineChars="200"/>
        <w:rPr>
          <w:rFonts w:ascii="宋体" w:hAnsi="宋体" w:eastAsia="宋体" w:cs="Arial"/>
          <w:b/>
          <w:bCs/>
          <w:sz w:val="24"/>
          <w:szCs w:val="24"/>
        </w:rPr>
      </w:pPr>
      <w:bookmarkStart w:id="85" w:name="_Toc46177958"/>
      <w:r>
        <w:rPr>
          <w:rFonts w:hint="eastAsia" w:ascii="宋体" w:hAnsi="宋体" w:eastAsia="宋体" w:cs="Arial"/>
          <w:b/>
          <w:bCs/>
          <w:sz w:val="24"/>
          <w:szCs w:val="24"/>
        </w:rPr>
        <w:t>2、测评依据</w:t>
      </w:r>
      <w:bookmarkEnd w:id="85"/>
    </w:p>
    <w:p>
      <w:pPr>
        <w:spacing w:line="360" w:lineRule="auto"/>
        <w:ind w:firstLine="480" w:firstLineChars="200"/>
        <w:rPr>
          <w:rFonts w:hint="eastAsia" w:ascii="宋体" w:hAnsi="宋体" w:eastAsia="宋体" w:cs="Arial"/>
          <w:kern w:val="0"/>
          <w:sz w:val="24"/>
          <w:szCs w:val="20"/>
        </w:rPr>
      </w:pPr>
      <w:r>
        <w:rPr>
          <w:rFonts w:hint="eastAsia" w:ascii="宋体" w:hAnsi="宋体" w:eastAsia="宋体" w:cs="Arial"/>
          <w:kern w:val="0"/>
          <w:sz w:val="24"/>
          <w:szCs w:val="20"/>
        </w:rPr>
        <w:t>《信息安全技术 网络安全等级保护基本要求》（GB/T 22239-2019）</w:t>
      </w:r>
    </w:p>
    <w:p>
      <w:pPr>
        <w:spacing w:line="360" w:lineRule="auto"/>
        <w:ind w:left="479" w:leftChars="228" w:firstLine="0" w:firstLineChars="0"/>
        <w:rPr>
          <w:rFonts w:hint="eastAsia" w:ascii="宋体" w:hAnsi="宋体" w:eastAsia="宋体" w:cs="Arial"/>
          <w:kern w:val="0"/>
          <w:sz w:val="24"/>
          <w:szCs w:val="20"/>
        </w:rPr>
      </w:pPr>
      <w:r>
        <w:rPr>
          <w:rFonts w:hint="eastAsia" w:ascii="宋体" w:hAnsi="宋体" w:eastAsia="宋体" w:cs="Arial"/>
          <w:kern w:val="0"/>
          <w:sz w:val="24"/>
          <w:szCs w:val="20"/>
        </w:rPr>
        <w:t xml:space="preserve">《信息安全技术 网络安全等级保护安全设计技术要求》GB-T 25070-2019 </w:t>
      </w:r>
      <w:r>
        <w:rPr>
          <w:rFonts w:hint="eastAsia" w:ascii="宋体" w:hAnsi="宋体" w:eastAsia="宋体" w:cs="Arial"/>
          <w:kern w:val="0"/>
          <w:sz w:val="24"/>
          <w:szCs w:val="20"/>
        </w:rPr>
        <w:cr/>
      </w:r>
      <w:r>
        <w:rPr>
          <w:rFonts w:hint="eastAsia" w:ascii="宋体" w:hAnsi="宋体" w:eastAsia="宋体" w:cs="Arial"/>
          <w:kern w:val="0"/>
          <w:sz w:val="24"/>
          <w:szCs w:val="20"/>
        </w:rPr>
        <w:t>《信息安全技术 信息系统安全等级保护定级指南》（GB/T 22240-2020）</w:t>
      </w:r>
      <w:r>
        <w:rPr>
          <w:rFonts w:hint="eastAsia" w:ascii="宋体" w:hAnsi="宋体" w:eastAsia="宋体" w:cs="Arial"/>
          <w:kern w:val="0"/>
          <w:sz w:val="24"/>
          <w:szCs w:val="20"/>
        </w:rPr>
        <w:cr/>
      </w:r>
      <w:r>
        <w:rPr>
          <w:rFonts w:hint="eastAsia" w:ascii="宋体" w:hAnsi="宋体" w:eastAsia="宋体" w:cs="Arial"/>
          <w:kern w:val="0"/>
          <w:sz w:val="24"/>
          <w:szCs w:val="20"/>
        </w:rPr>
        <w:t xml:space="preserve">《信息安全技术 网络安全等级保护测评要求》（GB/T 28448-2019） </w:t>
      </w:r>
      <w:r>
        <w:rPr>
          <w:rFonts w:hint="eastAsia" w:ascii="宋体" w:hAnsi="宋体" w:eastAsia="宋体" w:cs="Arial"/>
          <w:kern w:val="0"/>
          <w:sz w:val="24"/>
          <w:szCs w:val="20"/>
        </w:rPr>
        <w:cr/>
      </w:r>
      <w:r>
        <w:rPr>
          <w:rFonts w:hint="eastAsia" w:ascii="宋体" w:hAnsi="宋体" w:eastAsia="宋体" w:cs="Arial"/>
          <w:kern w:val="0"/>
          <w:sz w:val="24"/>
          <w:szCs w:val="20"/>
        </w:rPr>
        <w:t>《信息安全技术 网络安全等级保护测评过程指南》（GB∕T 28449-2018）</w:t>
      </w:r>
    </w:p>
    <w:p>
      <w:pPr>
        <w:spacing w:line="360" w:lineRule="auto"/>
        <w:ind w:firstLine="480" w:firstLineChars="200"/>
        <w:rPr>
          <w:rFonts w:hint="eastAsia" w:ascii="宋体" w:hAnsi="宋体" w:eastAsia="宋体" w:cs="Arial"/>
          <w:kern w:val="0"/>
          <w:sz w:val="24"/>
          <w:szCs w:val="20"/>
        </w:rPr>
      </w:pPr>
      <w:r>
        <w:rPr>
          <w:rFonts w:hint="eastAsia" w:ascii="宋体" w:hAnsi="宋体" w:eastAsia="宋体" w:cs="Arial"/>
          <w:kern w:val="0"/>
          <w:sz w:val="24"/>
          <w:szCs w:val="20"/>
        </w:rPr>
        <w:t>《信息安全技术 网络安全等级保护安全管理中心技术要求》（GB-T 36958-2018）等相关标准及法律法规</w:t>
      </w:r>
    </w:p>
    <w:p>
      <w:pPr>
        <w:numPr>
          <w:ilvl w:val="0"/>
          <w:numId w:val="4"/>
        </w:numPr>
        <w:spacing w:line="360" w:lineRule="auto"/>
        <w:ind w:left="0" w:firstLine="0"/>
        <w:rPr>
          <w:rFonts w:ascii="宋体" w:hAnsi="宋体" w:eastAsia="宋体" w:cs="Arial"/>
          <w:b/>
          <w:sz w:val="24"/>
          <w:szCs w:val="24"/>
        </w:rPr>
      </w:pPr>
      <w:r>
        <w:rPr>
          <w:rFonts w:hint="eastAsia" w:ascii="宋体" w:hAnsi="宋体" w:eastAsia="宋体" w:cs="Arial"/>
          <w:b/>
          <w:sz w:val="24"/>
          <w:szCs w:val="24"/>
        </w:rPr>
        <w:t>等级保护测评内容</w:t>
      </w:r>
    </w:p>
    <w:p>
      <w:pPr>
        <w:numPr>
          <w:ilvl w:val="0"/>
          <w:numId w:val="5"/>
        </w:numPr>
        <w:autoSpaceDE w:val="0"/>
        <w:autoSpaceDN w:val="0"/>
        <w:adjustRightInd w:val="0"/>
        <w:spacing w:line="360" w:lineRule="auto"/>
        <w:ind w:left="900" w:hanging="420"/>
        <w:rPr>
          <w:rFonts w:ascii="宋体" w:hAnsi="宋体" w:eastAsia="宋体" w:cs="Arial"/>
          <w:b/>
          <w:bCs/>
          <w:sz w:val="24"/>
          <w:szCs w:val="24"/>
        </w:rPr>
      </w:pPr>
      <w:bookmarkStart w:id="86" w:name="_Toc4424565"/>
      <w:bookmarkStart w:id="87" w:name="_Toc311015404"/>
      <w:bookmarkStart w:id="88" w:name="_Toc288574635"/>
      <w:bookmarkStart w:id="89" w:name="_Toc288552020"/>
      <w:bookmarkStart w:id="90" w:name="_Toc288570237"/>
      <w:bookmarkStart w:id="91" w:name="_Toc287704425"/>
      <w:r>
        <w:rPr>
          <w:rFonts w:ascii="宋体" w:hAnsi="宋体" w:eastAsia="宋体" w:cs="Arial"/>
          <w:b/>
          <w:bCs/>
          <w:sz w:val="24"/>
          <w:szCs w:val="24"/>
        </w:rPr>
        <w:t>等级保护测评内容</w:t>
      </w:r>
      <w:bookmarkEnd w:id="86"/>
      <w:bookmarkEnd w:id="87"/>
    </w:p>
    <w:p>
      <w:pPr>
        <w:spacing w:line="360" w:lineRule="auto"/>
        <w:ind w:firstLine="480" w:firstLineChars="200"/>
        <w:rPr>
          <w:rFonts w:ascii="宋体" w:hAnsi="宋体" w:eastAsia="宋体" w:cs="Arial"/>
          <w:kern w:val="0"/>
          <w:sz w:val="24"/>
          <w:szCs w:val="20"/>
        </w:rPr>
      </w:pPr>
      <w:r>
        <w:rPr>
          <w:rFonts w:hint="eastAsia" w:ascii="宋体" w:hAnsi="宋体" w:eastAsia="宋体" w:cs="Arial"/>
          <w:kern w:val="0"/>
          <w:sz w:val="24"/>
          <w:szCs w:val="20"/>
        </w:rPr>
        <w:t>根据国家最新等级保护相关标准，本次项目的网络安全等级保护测评至少应包括以下内容：</w:t>
      </w:r>
    </w:p>
    <w:bookmarkEnd w:id="88"/>
    <w:bookmarkEnd w:id="89"/>
    <w:bookmarkEnd w:id="90"/>
    <w:bookmarkEnd w:id="91"/>
    <w:p>
      <w:pPr>
        <w:spacing w:line="360" w:lineRule="auto"/>
        <w:ind w:firstLine="480" w:firstLineChars="200"/>
        <w:rPr>
          <w:rFonts w:hint="eastAsia" w:ascii="宋体" w:hAnsi="宋体" w:eastAsia="宋体" w:cs="Arial"/>
          <w:kern w:val="0"/>
          <w:sz w:val="24"/>
          <w:szCs w:val="20"/>
        </w:rPr>
      </w:pPr>
      <w:r>
        <w:rPr>
          <w:rFonts w:hint="eastAsia" w:ascii="宋体" w:hAnsi="宋体" w:eastAsia="宋体" w:cs="Arial"/>
          <w:kern w:val="0"/>
          <w:sz w:val="24"/>
          <w:szCs w:val="20"/>
        </w:rPr>
        <w:t>安全技术测评：包括安全物理环境、安全通信网络、安全区域边界、安全计算环境、安全管理中心等五个方面的安全测评；</w:t>
      </w:r>
    </w:p>
    <w:p>
      <w:pPr>
        <w:spacing w:line="360" w:lineRule="auto"/>
        <w:ind w:firstLine="480" w:firstLineChars="200"/>
        <w:rPr>
          <w:rFonts w:hint="eastAsia" w:ascii="宋体" w:hAnsi="宋体" w:eastAsia="宋体" w:cs="Arial"/>
          <w:kern w:val="0"/>
          <w:sz w:val="24"/>
          <w:szCs w:val="20"/>
        </w:rPr>
      </w:pPr>
      <w:r>
        <w:rPr>
          <w:rFonts w:hint="eastAsia" w:ascii="宋体" w:hAnsi="宋体" w:eastAsia="宋体" w:cs="Arial"/>
          <w:kern w:val="0"/>
          <w:sz w:val="24"/>
          <w:szCs w:val="20"/>
        </w:rPr>
        <w:t>安全管理测评：包括安全管理制度、安全管理机构、安全管理人员、安全建设管理和安全运维管理等五个方面的安全测评。</w:t>
      </w:r>
    </w:p>
    <w:p>
      <w:pPr>
        <w:numPr>
          <w:ilvl w:val="0"/>
          <w:numId w:val="5"/>
        </w:numPr>
        <w:autoSpaceDE w:val="0"/>
        <w:autoSpaceDN w:val="0"/>
        <w:adjustRightInd w:val="0"/>
        <w:spacing w:line="360" w:lineRule="auto"/>
        <w:ind w:left="900" w:hanging="420"/>
        <w:rPr>
          <w:rFonts w:ascii="宋体" w:hAnsi="宋体" w:eastAsia="宋体" w:cs="Arial"/>
          <w:b/>
          <w:bCs/>
          <w:sz w:val="24"/>
          <w:szCs w:val="24"/>
        </w:rPr>
      </w:pPr>
      <w:bookmarkStart w:id="92" w:name="_Toc4424566"/>
      <w:r>
        <w:rPr>
          <w:rFonts w:ascii="宋体" w:hAnsi="宋体" w:eastAsia="宋体" w:cs="Arial"/>
          <w:b/>
          <w:bCs/>
          <w:sz w:val="24"/>
          <w:szCs w:val="24"/>
        </w:rPr>
        <w:t>安全物理</w:t>
      </w:r>
      <w:bookmarkEnd w:id="92"/>
      <w:r>
        <w:rPr>
          <w:rFonts w:ascii="宋体" w:hAnsi="宋体" w:eastAsia="宋体" w:cs="Arial"/>
          <w:b/>
          <w:bCs/>
          <w:sz w:val="24"/>
          <w:szCs w:val="24"/>
        </w:rPr>
        <w:t>环境</w:t>
      </w:r>
    </w:p>
    <w:p>
      <w:pPr>
        <w:spacing w:line="360" w:lineRule="auto"/>
        <w:ind w:firstLine="480" w:firstLineChars="200"/>
        <w:rPr>
          <w:rFonts w:ascii="宋体" w:hAnsi="宋体" w:eastAsia="宋体" w:cs="Arial"/>
          <w:kern w:val="0"/>
          <w:sz w:val="24"/>
          <w:szCs w:val="20"/>
        </w:rPr>
      </w:pPr>
      <w:r>
        <w:rPr>
          <w:rFonts w:hint="eastAsia" w:ascii="宋体" w:hAnsi="宋体" w:eastAsia="宋体" w:cs="Arial"/>
          <w:kern w:val="0"/>
          <w:sz w:val="24"/>
          <w:szCs w:val="20"/>
        </w:rPr>
        <w:t>安全物理环境是对机房和办公场所的物理环境安全防护情况进行测评，包括物理位置选择、物理访问控制、防盗窃和防破坏、防雷击、防火、防水和防潮、防静电、温湿度控制、电力供应和电磁防护等方面的安全状况。</w:t>
      </w:r>
    </w:p>
    <w:p>
      <w:pPr>
        <w:numPr>
          <w:ilvl w:val="0"/>
          <w:numId w:val="5"/>
        </w:numPr>
        <w:autoSpaceDE w:val="0"/>
        <w:autoSpaceDN w:val="0"/>
        <w:adjustRightInd w:val="0"/>
        <w:spacing w:line="360" w:lineRule="auto"/>
        <w:ind w:left="900" w:hanging="420"/>
        <w:rPr>
          <w:rFonts w:ascii="宋体" w:hAnsi="宋体" w:eastAsia="宋体" w:cs="Arial"/>
          <w:b/>
          <w:bCs/>
          <w:sz w:val="24"/>
          <w:szCs w:val="24"/>
        </w:rPr>
      </w:pPr>
      <w:bookmarkStart w:id="93" w:name="_Toc4424567"/>
      <w:r>
        <w:rPr>
          <w:rFonts w:ascii="宋体" w:hAnsi="宋体" w:eastAsia="宋体" w:cs="Arial"/>
          <w:b/>
          <w:bCs/>
          <w:sz w:val="24"/>
          <w:szCs w:val="24"/>
        </w:rPr>
        <w:t>安全通信网络</w:t>
      </w:r>
      <w:bookmarkEnd w:id="93"/>
    </w:p>
    <w:p>
      <w:pPr>
        <w:spacing w:line="360" w:lineRule="auto"/>
        <w:ind w:firstLine="480" w:firstLineChars="200"/>
        <w:rPr>
          <w:rFonts w:ascii="宋体" w:hAnsi="宋体" w:eastAsia="宋体" w:cs="Arial"/>
          <w:kern w:val="0"/>
          <w:sz w:val="24"/>
          <w:szCs w:val="20"/>
        </w:rPr>
      </w:pPr>
      <w:r>
        <w:rPr>
          <w:rFonts w:hint="eastAsia" w:ascii="宋体" w:hAnsi="宋体" w:eastAsia="宋体" w:cs="Arial"/>
          <w:kern w:val="0"/>
          <w:sz w:val="24"/>
          <w:szCs w:val="20"/>
        </w:rPr>
        <w:t>安全通信网络测评是对网络系统安全防护情况进行测评，包括网络架构、通信传输、可信验证等方面的安全状况。</w:t>
      </w:r>
    </w:p>
    <w:p>
      <w:pPr>
        <w:numPr>
          <w:ilvl w:val="0"/>
          <w:numId w:val="5"/>
        </w:numPr>
        <w:autoSpaceDE w:val="0"/>
        <w:autoSpaceDN w:val="0"/>
        <w:adjustRightInd w:val="0"/>
        <w:spacing w:line="360" w:lineRule="auto"/>
        <w:ind w:left="900" w:hanging="420"/>
        <w:rPr>
          <w:rFonts w:ascii="宋体" w:hAnsi="宋体" w:eastAsia="宋体" w:cs="Arial"/>
          <w:b/>
          <w:bCs/>
          <w:sz w:val="24"/>
          <w:szCs w:val="24"/>
        </w:rPr>
      </w:pPr>
      <w:r>
        <w:rPr>
          <w:rFonts w:ascii="宋体" w:hAnsi="宋体" w:eastAsia="宋体" w:cs="Arial"/>
          <w:b/>
          <w:bCs/>
          <w:sz w:val="24"/>
          <w:szCs w:val="24"/>
        </w:rPr>
        <w:t>安全区域边界</w:t>
      </w:r>
    </w:p>
    <w:p>
      <w:pPr>
        <w:spacing w:line="360" w:lineRule="auto"/>
        <w:ind w:firstLine="480" w:firstLineChars="200"/>
        <w:rPr>
          <w:rFonts w:ascii="宋体" w:hAnsi="宋体" w:eastAsia="宋体" w:cs="Arial"/>
          <w:kern w:val="0"/>
          <w:sz w:val="24"/>
          <w:szCs w:val="20"/>
        </w:rPr>
      </w:pPr>
      <w:r>
        <w:rPr>
          <w:rFonts w:hint="eastAsia" w:ascii="宋体" w:hAnsi="宋体" w:eastAsia="宋体" w:cs="Arial"/>
          <w:kern w:val="0"/>
          <w:sz w:val="24"/>
          <w:szCs w:val="20"/>
        </w:rPr>
        <w:t>安全区域边界是对边界防护、访问控制、入侵防范、恶意代码防范、安全审计、可信验证等方面的测评。</w:t>
      </w:r>
    </w:p>
    <w:p>
      <w:pPr>
        <w:numPr>
          <w:ilvl w:val="0"/>
          <w:numId w:val="5"/>
        </w:numPr>
        <w:autoSpaceDE w:val="0"/>
        <w:autoSpaceDN w:val="0"/>
        <w:adjustRightInd w:val="0"/>
        <w:spacing w:line="360" w:lineRule="auto"/>
        <w:ind w:left="900" w:hanging="420"/>
        <w:rPr>
          <w:rFonts w:ascii="宋体" w:hAnsi="宋体" w:eastAsia="宋体" w:cs="Arial"/>
          <w:b/>
          <w:bCs/>
          <w:sz w:val="24"/>
          <w:szCs w:val="24"/>
        </w:rPr>
      </w:pPr>
      <w:bookmarkStart w:id="94" w:name="_Toc4424569"/>
      <w:r>
        <w:rPr>
          <w:rFonts w:ascii="宋体" w:hAnsi="宋体" w:eastAsia="宋体" w:cs="Arial"/>
          <w:b/>
          <w:bCs/>
          <w:sz w:val="24"/>
          <w:szCs w:val="24"/>
        </w:rPr>
        <w:t>安全</w:t>
      </w:r>
      <w:bookmarkEnd w:id="94"/>
      <w:r>
        <w:rPr>
          <w:rFonts w:ascii="宋体" w:hAnsi="宋体" w:eastAsia="宋体" w:cs="Arial"/>
          <w:b/>
          <w:bCs/>
          <w:sz w:val="24"/>
          <w:szCs w:val="24"/>
        </w:rPr>
        <w:t>计算环境</w:t>
      </w:r>
    </w:p>
    <w:p>
      <w:pPr>
        <w:spacing w:line="360" w:lineRule="auto"/>
        <w:ind w:firstLine="480" w:firstLineChars="200"/>
        <w:rPr>
          <w:rFonts w:ascii="宋体" w:hAnsi="宋体" w:eastAsia="宋体" w:cs="Arial"/>
          <w:kern w:val="0"/>
          <w:sz w:val="24"/>
          <w:szCs w:val="20"/>
        </w:rPr>
      </w:pPr>
      <w:r>
        <w:rPr>
          <w:rFonts w:hint="eastAsia" w:ascii="宋体" w:hAnsi="宋体" w:eastAsia="宋体" w:cs="Arial"/>
          <w:kern w:val="0"/>
          <w:sz w:val="24"/>
          <w:szCs w:val="20"/>
        </w:rPr>
        <w:t>安全计算环境是对身份鉴别、访问控制、安全审计、入侵防范、恶意代码防范、可信验证、数据完整性、数据保密性、数据备份恢复、剩余信息保护、个人信息保护等方面的测评。</w:t>
      </w:r>
    </w:p>
    <w:p>
      <w:pPr>
        <w:numPr>
          <w:ilvl w:val="0"/>
          <w:numId w:val="5"/>
        </w:numPr>
        <w:autoSpaceDE w:val="0"/>
        <w:autoSpaceDN w:val="0"/>
        <w:adjustRightInd w:val="0"/>
        <w:spacing w:line="360" w:lineRule="auto"/>
        <w:ind w:left="900" w:hanging="420"/>
        <w:rPr>
          <w:rFonts w:ascii="宋体" w:hAnsi="宋体" w:eastAsia="宋体" w:cs="Arial"/>
          <w:b/>
          <w:bCs/>
          <w:sz w:val="24"/>
          <w:szCs w:val="24"/>
        </w:rPr>
      </w:pPr>
      <w:r>
        <w:rPr>
          <w:rFonts w:ascii="宋体" w:hAnsi="宋体" w:eastAsia="宋体" w:cs="Arial"/>
          <w:b/>
          <w:bCs/>
          <w:sz w:val="24"/>
          <w:szCs w:val="24"/>
        </w:rPr>
        <w:t>安全管理中心</w:t>
      </w:r>
    </w:p>
    <w:p>
      <w:pPr>
        <w:spacing w:line="360" w:lineRule="auto"/>
        <w:ind w:firstLine="480" w:firstLineChars="200"/>
        <w:rPr>
          <w:rFonts w:ascii="宋体" w:hAnsi="宋体" w:eastAsia="宋体" w:cs="Arial"/>
          <w:kern w:val="0"/>
          <w:sz w:val="24"/>
          <w:szCs w:val="20"/>
        </w:rPr>
      </w:pPr>
      <w:r>
        <w:rPr>
          <w:rFonts w:hint="eastAsia" w:ascii="宋体" w:hAnsi="宋体" w:eastAsia="宋体" w:cs="Arial"/>
          <w:kern w:val="0"/>
          <w:sz w:val="24"/>
          <w:szCs w:val="20"/>
        </w:rPr>
        <w:t>安全管理中心是对系统管理、审计管理、安全管理、集中管控等方面的测评。</w:t>
      </w:r>
    </w:p>
    <w:p>
      <w:pPr>
        <w:numPr>
          <w:ilvl w:val="0"/>
          <w:numId w:val="5"/>
        </w:numPr>
        <w:autoSpaceDE w:val="0"/>
        <w:autoSpaceDN w:val="0"/>
        <w:adjustRightInd w:val="0"/>
        <w:spacing w:line="360" w:lineRule="auto"/>
        <w:ind w:left="900" w:hanging="420"/>
        <w:rPr>
          <w:rFonts w:ascii="宋体" w:hAnsi="宋体" w:eastAsia="宋体" w:cs="Arial"/>
          <w:b/>
          <w:bCs/>
          <w:sz w:val="24"/>
          <w:szCs w:val="24"/>
        </w:rPr>
      </w:pPr>
      <w:bookmarkStart w:id="95" w:name="_Toc4424571"/>
      <w:r>
        <w:rPr>
          <w:rFonts w:ascii="宋体" w:hAnsi="宋体" w:eastAsia="宋体" w:cs="Arial"/>
          <w:b/>
          <w:bCs/>
          <w:sz w:val="24"/>
          <w:szCs w:val="24"/>
        </w:rPr>
        <w:t>安全管理制度</w:t>
      </w:r>
      <w:bookmarkEnd w:id="95"/>
    </w:p>
    <w:p>
      <w:pPr>
        <w:spacing w:line="360" w:lineRule="auto"/>
        <w:ind w:firstLine="480" w:firstLineChars="200"/>
        <w:rPr>
          <w:rFonts w:ascii="宋体" w:hAnsi="宋体" w:eastAsia="宋体" w:cs="Arial"/>
          <w:kern w:val="0"/>
          <w:sz w:val="24"/>
          <w:szCs w:val="20"/>
        </w:rPr>
      </w:pPr>
      <w:r>
        <w:rPr>
          <w:rFonts w:hint="eastAsia" w:ascii="宋体" w:hAnsi="宋体" w:eastAsia="宋体" w:cs="Arial"/>
          <w:kern w:val="0"/>
          <w:sz w:val="24"/>
          <w:szCs w:val="20"/>
        </w:rPr>
        <w:t>安全管理制度测评是对安全策略、管理制度、制定和发布、评审和修订进行测评。</w:t>
      </w:r>
    </w:p>
    <w:p>
      <w:pPr>
        <w:numPr>
          <w:ilvl w:val="0"/>
          <w:numId w:val="5"/>
        </w:numPr>
        <w:autoSpaceDE w:val="0"/>
        <w:autoSpaceDN w:val="0"/>
        <w:adjustRightInd w:val="0"/>
        <w:spacing w:line="360" w:lineRule="auto"/>
        <w:ind w:left="900" w:hanging="420"/>
        <w:rPr>
          <w:rFonts w:ascii="宋体" w:hAnsi="宋体" w:eastAsia="宋体" w:cs="Arial"/>
          <w:b/>
          <w:bCs/>
          <w:sz w:val="24"/>
          <w:szCs w:val="24"/>
        </w:rPr>
      </w:pPr>
      <w:bookmarkStart w:id="96" w:name="_Toc4424572"/>
      <w:r>
        <w:rPr>
          <w:rFonts w:ascii="宋体" w:hAnsi="宋体" w:eastAsia="宋体" w:cs="Arial"/>
          <w:b/>
          <w:bCs/>
          <w:sz w:val="24"/>
          <w:szCs w:val="24"/>
        </w:rPr>
        <w:t>安全管理机构</w:t>
      </w:r>
      <w:bookmarkEnd w:id="96"/>
    </w:p>
    <w:p>
      <w:pPr>
        <w:spacing w:line="360" w:lineRule="auto"/>
        <w:ind w:firstLine="480" w:firstLineChars="200"/>
        <w:rPr>
          <w:rFonts w:ascii="宋体" w:hAnsi="宋体" w:eastAsia="宋体" w:cs="Arial"/>
          <w:kern w:val="0"/>
          <w:sz w:val="24"/>
          <w:szCs w:val="20"/>
        </w:rPr>
      </w:pPr>
      <w:r>
        <w:rPr>
          <w:rFonts w:hint="eastAsia" w:ascii="宋体" w:hAnsi="宋体" w:eastAsia="宋体" w:cs="Arial"/>
          <w:kern w:val="0"/>
          <w:sz w:val="24"/>
          <w:szCs w:val="20"/>
        </w:rPr>
        <w:t>安全管理机构测评是对岗位设置、人员配备、授权和审批、沟通和合作、审核和检查等情况进行测评。</w:t>
      </w:r>
    </w:p>
    <w:p>
      <w:pPr>
        <w:numPr>
          <w:ilvl w:val="0"/>
          <w:numId w:val="5"/>
        </w:numPr>
        <w:autoSpaceDE w:val="0"/>
        <w:autoSpaceDN w:val="0"/>
        <w:adjustRightInd w:val="0"/>
        <w:spacing w:line="360" w:lineRule="auto"/>
        <w:ind w:left="900" w:hanging="420"/>
        <w:rPr>
          <w:rFonts w:ascii="宋体" w:hAnsi="宋体" w:eastAsia="宋体" w:cs="Arial"/>
          <w:b/>
          <w:bCs/>
          <w:sz w:val="24"/>
          <w:szCs w:val="24"/>
        </w:rPr>
      </w:pPr>
      <w:bookmarkStart w:id="97" w:name="_Toc4424573"/>
      <w:r>
        <w:rPr>
          <w:rFonts w:ascii="宋体" w:hAnsi="宋体" w:eastAsia="宋体" w:cs="Arial"/>
          <w:b/>
          <w:bCs/>
          <w:sz w:val="24"/>
          <w:szCs w:val="24"/>
        </w:rPr>
        <w:t>安全管理</w:t>
      </w:r>
      <w:bookmarkEnd w:id="97"/>
      <w:r>
        <w:rPr>
          <w:rFonts w:ascii="宋体" w:hAnsi="宋体" w:eastAsia="宋体" w:cs="Arial"/>
          <w:b/>
          <w:bCs/>
          <w:sz w:val="24"/>
          <w:szCs w:val="24"/>
        </w:rPr>
        <w:t>人员</w:t>
      </w:r>
    </w:p>
    <w:p>
      <w:pPr>
        <w:spacing w:line="360" w:lineRule="auto"/>
        <w:ind w:firstLine="480" w:firstLineChars="200"/>
        <w:rPr>
          <w:rFonts w:ascii="宋体" w:hAnsi="宋体" w:eastAsia="宋体" w:cs="Arial"/>
          <w:kern w:val="0"/>
          <w:sz w:val="24"/>
          <w:szCs w:val="20"/>
        </w:rPr>
      </w:pPr>
      <w:r>
        <w:rPr>
          <w:rFonts w:hint="eastAsia" w:ascii="宋体" w:hAnsi="宋体" w:eastAsia="宋体" w:cs="Arial"/>
          <w:kern w:val="0"/>
          <w:sz w:val="24"/>
          <w:szCs w:val="20"/>
        </w:rPr>
        <w:t>安全管理人员测评是对人员录用、人员离岗、安全意识教育和培训、外部人员访问管理等情况进行测评。</w:t>
      </w:r>
    </w:p>
    <w:p>
      <w:pPr>
        <w:numPr>
          <w:ilvl w:val="0"/>
          <w:numId w:val="5"/>
        </w:numPr>
        <w:autoSpaceDE w:val="0"/>
        <w:autoSpaceDN w:val="0"/>
        <w:adjustRightInd w:val="0"/>
        <w:spacing w:line="360" w:lineRule="auto"/>
        <w:ind w:left="900" w:hanging="420"/>
        <w:rPr>
          <w:rFonts w:ascii="宋体" w:hAnsi="宋体" w:eastAsia="宋体" w:cs="Arial"/>
          <w:b/>
          <w:bCs/>
          <w:sz w:val="24"/>
          <w:szCs w:val="24"/>
        </w:rPr>
      </w:pPr>
      <w:bookmarkStart w:id="98" w:name="_Toc4424574"/>
      <w:r>
        <w:rPr>
          <w:rFonts w:ascii="宋体" w:hAnsi="宋体" w:eastAsia="宋体" w:cs="Arial"/>
          <w:b/>
          <w:bCs/>
          <w:sz w:val="24"/>
          <w:szCs w:val="24"/>
        </w:rPr>
        <w:t>安全建设管理</w:t>
      </w:r>
      <w:bookmarkEnd w:id="98"/>
    </w:p>
    <w:p>
      <w:pPr>
        <w:spacing w:line="360" w:lineRule="auto"/>
        <w:ind w:firstLine="480" w:firstLineChars="200"/>
        <w:rPr>
          <w:rFonts w:ascii="宋体" w:hAnsi="宋体" w:eastAsia="宋体" w:cs="Arial"/>
          <w:kern w:val="0"/>
          <w:sz w:val="24"/>
          <w:szCs w:val="20"/>
        </w:rPr>
      </w:pPr>
      <w:r>
        <w:rPr>
          <w:rFonts w:hint="eastAsia" w:ascii="宋体" w:hAnsi="宋体" w:eastAsia="宋体" w:cs="Arial"/>
          <w:kern w:val="0"/>
          <w:sz w:val="24"/>
          <w:szCs w:val="20"/>
        </w:rPr>
        <w:t>安全建设管理测评是对建设过程中的系统定级和备案、安全方案设计、产品采购和使用、自行软件开发、外包软件开发、 工程实施、测试验收、系统交付、 等级测评、服务供应商选择等情况进行测评。</w:t>
      </w:r>
    </w:p>
    <w:p>
      <w:pPr>
        <w:numPr>
          <w:ilvl w:val="0"/>
          <w:numId w:val="5"/>
        </w:numPr>
        <w:autoSpaceDE w:val="0"/>
        <w:autoSpaceDN w:val="0"/>
        <w:adjustRightInd w:val="0"/>
        <w:spacing w:line="360" w:lineRule="auto"/>
        <w:ind w:left="900" w:hanging="420"/>
        <w:rPr>
          <w:rFonts w:ascii="宋体" w:hAnsi="宋体" w:eastAsia="宋体" w:cs="Arial"/>
          <w:b/>
          <w:bCs/>
          <w:sz w:val="24"/>
          <w:szCs w:val="24"/>
        </w:rPr>
      </w:pPr>
      <w:bookmarkStart w:id="99" w:name="_Toc4424575"/>
      <w:r>
        <w:rPr>
          <w:rFonts w:ascii="宋体" w:hAnsi="宋体" w:eastAsia="宋体" w:cs="Arial"/>
          <w:b/>
          <w:bCs/>
          <w:sz w:val="24"/>
          <w:szCs w:val="24"/>
        </w:rPr>
        <w:t>安全运维管理</w:t>
      </w:r>
      <w:bookmarkEnd w:id="99"/>
    </w:p>
    <w:p>
      <w:pPr>
        <w:spacing w:line="360" w:lineRule="auto"/>
        <w:ind w:firstLine="480" w:firstLineChars="200"/>
        <w:rPr>
          <w:rFonts w:ascii="宋体" w:hAnsi="宋体" w:eastAsia="宋体" w:cs="Arial"/>
          <w:kern w:val="0"/>
          <w:sz w:val="24"/>
          <w:szCs w:val="20"/>
        </w:rPr>
      </w:pPr>
      <w:r>
        <w:rPr>
          <w:rFonts w:hint="eastAsia" w:ascii="宋体" w:hAnsi="宋体" w:eastAsia="宋体" w:cs="Arial"/>
          <w:kern w:val="0"/>
          <w:sz w:val="24"/>
          <w:szCs w:val="20"/>
        </w:rPr>
        <w:t>安全运维管理测评是对环境管理、资产管理、介质管理、设备维护管理、漏洞和风险管理、网络和系统安全管理、恶意代码防范管理、配置管理、密码管理、变更管理、备份与恢复管理、安全事件处置、 应急预案管理、外包运维管理等情况进行测评。</w:t>
      </w:r>
    </w:p>
    <w:p>
      <w:pPr>
        <w:widowControl/>
        <w:shd w:val="clear" w:color="auto" w:fill="FFFFFF"/>
        <w:spacing w:line="495" w:lineRule="atLeast"/>
        <w:jc w:val="left"/>
        <w:outlineLvl w:val="1"/>
        <w:rPr>
          <w:rFonts w:ascii="宋体" w:hAnsi="宋体" w:eastAsia="宋体" w:cs="Arial"/>
          <w:b/>
          <w:kern w:val="0"/>
          <w:sz w:val="32"/>
          <w:szCs w:val="32"/>
        </w:rPr>
      </w:pPr>
      <w:bookmarkStart w:id="100" w:name="_Toc22264"/>
      <w:bookmarkStart w:id="101" w:name="_Toc69307895"/>
      <w:r>
        <w:rPr>
          <w:rFonts w:hint="eastAsia" w:ascii="宋体" w:hAnsi="宋体" w:eastAsia="宋体" w:cs="Arial"/>
          <w:b/>
          <w:kern w:val="0"/>
          <w:sz w:val="32"/>
          <w:szCs w:val="32"/>
        </w:rPr>
        <w:t>六、报价要求</w:t>
      </w:r>
      <w:bookmarkEnd w:id="100"/>
      <w:bookmarkEnd w:id="101"/>
    </w:p>
    <w:p>
      <w:pPr>
        <w:spacing w:line="360" w:lineRule="auto"/>
        <w:ind w:firstLine="480" w:firstLineChars="200"/>
        <w:rPr>
          <w:rFonts w:ascii="宋体" w:hAnsi="宋体" w:eastAsia="宋体" w:cs="Arial"/>
          <w:kern w:val="0"/>
          <w:sz w:val="24"/>
          <w:szCs w:val="20"/>
        </w:rPr>
      </w:pPr>
      <w:r>
        <w:rPr>
          <w:rFonts w:hint="eastAsia" w:ascii="宋体" w:hAnsi="宋体" w:eastAsia="宋体" w:cs="Arial"/>
          <w:kern w:val="0"/>
          <w:sz w:val="24"/>
          <w:szCs w:val="20"/>
        </w:rPr>
        <w:t>本项目报总价，报价包含完成本项目服务期间所产生的一切费用（含验收费用），采购人后期不再另行追加费用。</w:t>
      </w:r>
    </w:p>
    <w:p>
      <w:pPr>
        <w:widowControl/>
        <w:shd w:val="clear" w:color="auto" w:fill="FFFFFF"/>
        <w:spacing w:line="495" w:lineRule="atLeast"/>
        <w:jc w:val="left"/>
        <w:outlineLvl w:val="1"/>
        <w:rPr>
          <w:rFonts w:ascii="宋体" w:hAnsi="宋体" w:eastAsia="宋体" w:cs="Arial"/>
          <w:b/>
          <w:kern w:val="0"/>
          <w:sz w:val="32"/>
          <w:szCs w:val="32"/>
        </w:rPr>
      </w:pPr>
      <w:bookmarkStart w:id="102" w:name="_Toc22309"/>
      <w:bookmarkStart w:id="103" w:name="_Toc69307896"/>
      <w:r>
        <w:rPr>
          <w:rFonts w:hint="eastAsia" w:ascii="宋体" w:hAnsi="宋体" w:eastAsia="宋体" w:cs="Arial"/>
          <w:b/>
          <w:kern w:val="0"/>
          <w:sz w:val="32"/>
          <w:szCs w:val="32"/>
        </w:rPr>
        <w:t>七、人员配备</w:t>
      </w:r>
      <w:bookmarkEnd w:id="102"/>
      <w:bookmarkEnd w:id="103"/>
    </w:p>
    <w:p>
      <w:pPr>
        <w:spacing w:line="360" w:lineRule="auto"/>
        <w:ind w:firstLine="480" w:firstLineChars="200"/>
        <w:rPr>
          <w:rFonts w:hint="eastAsia" w:ascii="宋体" w:hAnsi="宋体" w:eastAsia="宋体" w:cs="Arial"/>
          <w:kern w:val="0"/>
          <w:sz w:val="24"/>
          <w:szCs w:val="20"/>
          <w:lang w:eastAsia="zh-CN"/>
        </w:rPr>
      </w:pPr>
      <w:r>
        <w:rPr>
          <w:rFonts w:hint="eastAsia" w:ascii="宋体" w:hAnsi="宋体" w:eastAsia="宋体" w:cs="Arial"/>
          <w:kern w:val="0"/>
          <w:sz w:val="24"/>
          <w:szCs w:val="20"/>
        </w:rPr>
        <w:t>供应商拟派的安全服务团队不得少于4人（至少包括1名高级</w:t>
      </w:r>
      <w:r>
        <w:rPr>
          <w:rFonts w:hint="eastAsia" w:ascii="宋体" w:hAnsi="宋体" w:eastAsia="宋体" w:cs="Arial"/>
          <w:kern w:val="0"/>
          <w:sz w:val="24"/>
          <w:szCs w:val="20"/>
          <w:lang w:val="en-US" w:eastAsia="zh-CN"/>
        </w:rPr>
        <w:t>网络安全等级测评师</w:t>
      </w:r>
      <w:r>
        <w:rPr>
          <w:rFonts w:hint="eastAsia" w:ascii="宋体" w:hAnsi="宋体" w:eastAsia="宋体" w:cs="Arial"/>
          <w:kern w:val="0"/>
          <w:sz w:val="24"/>
          <w:szCs w:val="20"/>
        </w:rPr>
        <w:t>、1名中级</w:t>
      </w:r>
      <w:r>
        <w:rPr>
          <w:rFonts w:hint="eastAsia" w:ascii="宋体" w:hAnsi="宋体" w:eastAsia="宋体" w:cs="Arial"/>
          <w:kern w:val="0"/>
          <w:sz w:val="24"/>
          <w:szCs w:val="20"/>
          <w:lang w:val="en-US" w:eastAsia="zh-CN"/>
        </w:rPr>
        <w:t>网络安全等级测评师</w:t>
      </w:r>
      <w:r>
        <w:rPr>
          <w:rFonts w:hint="eastAsia" w:ascii="宋体" w:hAnsi="宋体" w:eastAsia="宋体" w:cs="Arial"/>
          <w:kern w:val="0"/>
          <w:sz w:val="24"/>
          <w:szCs w:val="20"/>
        </w:rPr>
        <w:t>）。成交供应商需保证在实施阶段主要技术人员必须是全职。测评服务项目经理须由中级及以上测评师担任</w:t>
      </w:r>
      <w:r>
        <w:rPr>
          <w:rFonts w:hint="eastAsia" w:ascii="宋体" w:hAnsi="宋体" w:eastAsia="宋体" w:cs="Arial"/>
          <w:kern w:val="0"/>
          <w:sz w:val="24"/>
          <w:szCs w:val="20"/>
          <w:lang w:eastAsia="zh-CN"/>
        </w:rPr>
        <w:t>。</w:t>
      </w:r>
      <w:r>
        <w:rPr>
          <w:rFonts w:hint="eastAsia" w:ascii="宋体" w:hAnsi="宋体" w:eastAsia="宋体" w:cs="Arial"/>
          <w:kern w:val="0"/>
          <w:sz w:val="24"/>
          <w:szCs w:val="20"/>
          <w:lang w:val="en-US" w:eastAsia="zh-CN"/>
        </w:rPr>
        <w:t>团队人员均需</w:t>
      </w:r>
      <w:r>
        <w:rPr>
          <w:rFonts w:hint="eastAsia" w:ascii="宋体" w:hAnsi="宋体" w:eastAsia="宋体" w:cs="Arial"/>
          <w:kern w:val="0"/>
          <w:sz w:val="24"/>
          <w:szCs w:val="20"/>
        </w:rPr>
        <w:t>提供</w:t>
      </w:r>
      <w:r>
        <w:rPr>
          <w:rFonts w:hint="eastAsia" w:ascii="宋体" w:hAnsi="宋体" w:eastAsia="宋体" w:cs="Arial"/>
          <w:kern w:val="0"/>
          <w:sz w:val="24"/>
          <w:szCs w:val="20"/>
          <w:lang w:val="en-US" w:eastAsia="zh-CN"/>
        </w:rPr>
        <w:t>相应</w:t>
      </w:r>
      <w:r>
        <w:rPr>
          <w:rFonts w:hint="eastAsia" w:ascii="宋体" w:hAnsi="宋体" w:eastAsia="宋体" w:cs="Arial"/>
          <w:kern w:val="0"/>
          <w:sz w:val="24"/>
          <w:szCs w:val="20"/>
        </w:rPr>
        <w:t>证书复印件加盖公章及近三个月个人社保证明</w:t>
      </w:r>
      <w:r>
        <w:rPr>
          <w:rFonts w:hint="eastAsia" w:ascii="宋体" w:hAnsi="宋体" w:eastAsia="宋体" w:cs="Arial"/>
          <w:kern w:val="0"/>
          <w:sz w:val="24"/>
          <w:szCs w:val="20"/>
          <w:lang w:eastAsia="zh-CN"/>
        </w:rPr>
        <w:t>。</w:t>
      </w:r>
    </w:p>
    <w:p>
      <w:pPr>
        <w:widowControl/>
        <w:shd w:val="clear" w:color="auto" w:fill="FFFFFF"/>
        <w:spacing w:line="495" w:lineRule="atLeast"/>
        <w:jc w:val="left"/>
        <w:outlineLvl w:val="1"/>
        <w:rPr>
          <w:rFonts w:ascii="宋体" w:hAnsi="宋体" w:eastAsia="宋体" w:cs="Arial"/>
          <w:b/>
          <w:kern w:val="0"/>
          <w:sz w:val="32"/>
          <w:szCs w:val="32"/>
        </w:rPr>
      </w:pPr>
      <w:bookmarkStart w:id="104" w:name="_Toc69307897"/>
      <w:bookmarkStart w:id="105" w:name="_Toc1596"/>
      <w:r>
        <w:rPr>
          <w:rFonts w:hint="eastAsia" w:ascii="宋体" w:hAnsi="宋体" w:eastAsia="宋体" w:cs="Arial"/>
          <w:b/>
          <w:kern w:val="0"/>
          <w:sz w:val="32"/>
          <w:szCs w:val="32"/>
        </w:rPr>
        <w:t>八、验收标准</w:t>
      </w:r>
      <w:bookmarkEnd w:id="104"/>
      <w:bookmarkEnd w:id="105"/>
    </w:p>
    <w:p>
      <w:pPr>
        <w:spacing w:line="360" w:lineRule="auto"/>
        <w:ind w:firstLine="480" w:firstLineChars="200"/>
        <w:rPr>
          <w:rFonts w:hint="eastAsia" w:ascii="宋体" w:hAnsi="宋体" w:eastAsia="宋体" w:cs="Arial"/>
          <w:kern w:val="0"/>
          <w:sz w:val="24"/>
          <w:szCs w:val="20"/>
          <w:lang w:val="zh-CN"/>
        </w:rPr>
      </w:pPr>
      <w:r>
        <w:rPr>
          <w:rFonts w:hint="eastAsia" w:ascii="宋体" w:hAnsi="宋体" w:eastAsia="宋体" w:cs="Arial"/>
          <w:kern w:val="0"/>
          <w:sz w:val="24"/>
          <w:szCs w:val="20"/>
        </w:rPr>
        <w:t>成交供应商按网络安全等级保护要求，完成规定工作内容，提供相关过程文档及各类检测报告、测试报告、评估报告、整改报告等，按照等保2.0标准，出具符合标准要求的的测评报告，经采购人认可，并在公安部登记管理系统填报结果为准。</w:t>
      </w:r>
    </w:p>
    <w:p>
      <w:pPr>
        <w:pStyle w:val="16"/>
        <w:rPr>
          <w:rFonts w:hint="eastAsia" w:ascii="宋体" w:hAnsi="宋体" w:cs="Times New Roman"/>
          <w:szCs w:val="21"/>
          <w:highlight w:val="none"/>
        </w:rPr>
      </w:pPr>
    </w:p>
    <w:p>
      <w:pPr>
        <w:pStyle w:val="16"/>
        <w:rPr>
          <w:rFonts w:hint="eastAsia" w:ascii="宋体" w:hAnsi="宋体" w:cs="Times New Roman"/>
          <w:szCs w:val="21"/>
          <w:highlight w:val="none"/>
        </w:rPr>
      </w:pPr>
    </w:p>
    <w:p>
      <w:pPr>
        <w:pStyle w:val="16"/>
        <w:rPr>
          <w:rFonts w:hint="eastAsia" w:ascii="宋体" w:hAnsi="宋体" w:cs="Times New Roman"/>
          <w:szCs w:val="21"/>
          <w:highlight w:val="none"/>
        </w:rPr>
      </w:pPr>
    </w:p>
    <w:p>
      <w:pPr>
        <w:pStyle w:val="16"/>
        <w:rPr>
          <w:rFonts w:hint="eastAsia" w:ascii="宋体" w:hAnsi="宋体" w:cs="Times New Roman"/>
          <w:szCs w:val="21"/>
          <w:highlight w:val="none"/>
        </w:rPr>
      </w:pPr>
    </w:p>
    <w:p>
      <w:pPr>
        <w:pStyle w:val="16"/>
        <w:rPr>
          <w:rFonts w:hint="eastAsia" w:ascii="宋体" w:hAnsi="宋体" w:cs="Times New Roman"/>
          <w:szCs w:val="21"/>
          <w:highlight w:val="none"/>
        </w:rPr>
      </w:pPr>
    </w:p>
    <w:p>
      <w:pPr>
        <w:pStyle w:val="16"/>
        <w:rPr>
          <w:rFonts w:hint="eastAsia" w:ascii="宋体" w:hAnsi="宋体" w:cs="Times New Roman"/>
          <w:szCs w:val="21"/>
          <w:highlight w:val="none"/>
        </w:rPr>
      </w:pPr>
    </w:p>
    <w:p>
      <w:pPr>
        <w:pStyle w:val="16"/>
        <w:rPr>
          <w:rFonts w:hint="eastAsia" w:ascii="宋体" w:hAnsi="宋体" w:cs="Times New Roman"/>
          <w:szCs w:val="21"/>
          <w:highlight w:val="none"/>
        </w:rPr>
      </w:pPr>
    </w:p>
    <w:p>
      <w:pPr>
        <w:pStyle w:val="16"/>
        <w:rPr>
          <w:rFonts w:hint="eastAsia" w:ascii="宋体" w:hAnsi="宋体" w:cs="Times New Roman"/>
          <w:szCs w:val="21"/>
          <w:highlight w:val="none"/>
        </w:rPr>
      </w:pPr>
    </w:p>
    <w:p>
      <w:pPr>
        <w:pStyle w:val="16"/>
        <w:rPr>
          <w:rFonts w:hint="eastAsia" w:ascii="宋体" w:hAnsi="宋体" w:cs="Times New Roman"/>
          <w:szCs w:val="21"/>
          <w:highlight w:val="none"/>
        </w:rPr>
      </w:pPr>
    </w:p>
    <w:p>
      <w:pPr>
        <w:pStyle w:val="16"/>
        <w:rPr>
          <w:rFonts w:hint="eastAsia" w:ascii="宋体" w:hAnsi="宋体" w:cs="Times New Roman"/>
          <w:szCs w:val="21"/>
          <w:highlight w:val="none"/>
        </w:rPr>
      </w:pPr>
    </w:p>
    <w:p>
      <w:pPr>
        <w:pStyle w:val="16"/>
        <w:rPr>
          <w:rFonts w:hint="eastAsia" w:ascii="宋体" w:hAnsi="宋体" w:cs="Times New Roman"/>
          <w:szCs w:val="21"/>
          <w:highlight w:val="none"/>
        </w:rPr>
      </w:pPr>
    </w:p>
    <w:p>
      <w:pPr>
        <w:pStyle w:val="16"/>
        <w:rPr>
          <w:rFonts w:hint="eastAsia" w:ascii="宋体" w:hAnsi="宋体" w:cs="Times New Roman"/>
          <w:szCs w:val="21"/>
          <w:highlight w:val="none"/>
        </w:rPr>
      </w:pPr>
    </w:p>
    <w:p>
      <w:pPr>
        <w:pStyle w:val="16"/>
        <w:rPr>
          <w:rFonts w:hint="eastAsia" w:ascii="宋体" w:hAnsi="宋体" w:cs="Times New Roman"/>
          <w:szCs w:val="21"/>
          <w:highlight w:val="none"/>
        </w:rPr>
      </w:pPr>
    </w:p>
    <w:p>
      <w:pPr>
        <w:pStyle w:val="16"/>
        <w:rPr>
          <w:rFonts w:hint="eastAsia" w:ascii="宋体" w:hAnsi="宋体" w:cs="Times New Roman"/>
          <w:szCs w:val="21"/>
          <w:highlight w:val="none"/>
        </w:rPr>
      </w:pPr>
    </w:p>
    <w:p>
      <w:pPr>
        <w:pStyle w:val="16"/>
        <w:rPr>
          <w:rFonts w:hint="eastAsia" w:ascii="宋体" w:hAnsi="宋体" w:cs="Times New Roman"/>
          <w:szCs w:val="21"/>
          <w:highlight w:val="none"/>
        </w:rPr>
      </w:pPr>
    </w:p>
    <w:p>
      <w:pPr>
        <w:pStyle w:val="16"/>
        <w:rPr>
          <w:rFonts w:hint="eastAsia" w:ascii="宋体" w:hAnsi="宋体" w:cs="Times New Roman"/>
          <w:szCs w:val="21"/>
          <w:highlight w:val="none"/>
        </w:rPr>
      </w:pPr>
    </w:p>
    <w:p>
      <w:pPr>
        <w:pStyle w:val="16"/>
        <w:rPr>
          <w:rFonts w:hint="eastAsia" w:ascii="宋体" w:hAnsi="宋体" w:cs="Times New Roman"/>
          <w:szCs w:val="21"/>
          <w:highlight w:val="none"/>
        </w:rPr>
      </w:pPr>
    </w:p>
    <w:p>
      <w:pPr>
        <w:pStyle w:val="16"/>
        <w:rPr>
          <w:rFonts w:hint="eastAsia" w:ascii="宋体" w:hAnsi="宋体" w:cs="Times New Roman"/>
          <w:szCs w:val="21"/>
          <w:highlight w:val="none"/>
        </w:rPr>
      </w:pPr>
    </w:p>
    <w:p>
      <w:pPr>
        <w:pStyle w:val="16"/>
        <w:rPr>
          <w:rFonts w:hint="eastAsia" w:ascii="宋体" w:hAnsi="宋体" w:cs="Times New Roman"/>
          <w:szCs w:val="21"/>
          <w:highlight w:val="none"/>
        </w:rPr>
      </w:pPr>
    </w:p>
    <w:p>
      <w:pPr>
        <w:pStyle w:val="16"/>
        <w:rPr>
          <w:rFonts w:hint="eastAsia" w:ascii="宋体" w:hAnsi="宋体" w:cs="Times New Roman"/>
          <w:szCs w:val="21"/>
          <w:highlight w:val="none"/>
        </w:rPr>
      </w:pPr>
    </w:p>
    <w:p>
      <w:pPr>
        <w:pStyle w:val="16"/>
        <w:rPr>
          <w:rFonts w:hint="eastAsia" w:ascii="宋体" w:hAnsi="宋体" w:cs="Times New Roman"/>
          <w:szCs w:val="21"/>
          <w:highlight w:val="none"/>
        </w:rPr>
      </w:pPr>
    </w:p>
    <w:p>
      <w:pPr>
        <w:pStyle w:val="16"/>
        <w:rPr>
          <w:rFonts w:hint="eastAsia" w:ascii="宋体" w:hAnsi="宋体" w:cs="Times New Roman"/>
          <w:szCs w:val="21"/>
          <w:highlight w:val="none"/>
        </w:rPr>
      </w:pPr>
    </w:p>
    <w:p>
      <w:pPr>
        <w:pStyle w:val="16"/>
        <w:rPr>
          <w:rFonts w:hint="eastAsia" w:ascii="宋体" w:hAnsi="宋体" w:cs="Times New Roman"/>
          <w:szCs w:val="21"/>
          <w:highlight w:val="none"/>
        </w:rPr>
      </w:pPr>
    </w:p>
    <w:p>
      <w:pPr>
        <w:pStyle w:val="16"/>
        <w:rPr>
          <w:rFonts w:hint="eastAsia" w:ascii="宋体" w:hAnsi="宋体" w:cs="Times New Roman"/>
          <w:szCs w:val="21"/>
          <w:highlight w:val="none"/>
        </w:rPr>
      </w:pPr>
    </w:p>
    <w:p>
      <w:pPr>
        <w:pStyle w:val="16"/>
        <w:rPr>
          <w:rFonts w:hint="eastAsia" w:ascii="宋体" w:hAnsi="宋体" w:cs="Times New Roman"/>
          <w:szCs w:val="21"/>
          <w:highlight w:val="none"/>
        </w:rPr>
      </w:pPr>
    </w:p>
    <w:p>
      <w:pPr>
        <w:pStyle w:val="16"/>
        <w:rPr>
          <w:rFonts w:hint="eastAsia" w:ascii="宋体" w:hAnsi="宋体" w:cs="Times New Roman"/>
          <w:szCs w:val="21"/>
          <w:highlight w:val="none"/>
        </w:rPr>
      </w:pPr>
    </w:p>
    <w:p>
      <w:pPr>
        <w:pStyle w:val="16"/>
        <w:rPr>
          <w:rFonts w:hint="eastAsia" w:ascii="宋体" w:hAnsi="宋体" w:cs="Times New Roman"/>
          <w:szCs w:val="21"/>
          <w:highlight w:val="none"/>
        </w:rPr>
      </w:pPr>
    </w:p>
    <w:p>
      <w:pPr>
        <w:pStyle w:val="16"/>
        <w:rPr>
          <w:rFonts w:hint="eastAsia" w:ascii="宋体" w:hAnsi="宋体" w:cs="Times New Roman"/>
          <w:szCs w:val="21"/>
          <w:highlight w:val="none"/>
        </w:rPr>
      </w:pPr>
    </w:p>
    <w:p>
      <w:pPr>
        <w:pStyle w:val="16"/>
        <w:rPr>
          <w:rFonts w:hint="eastAsia" w:ascii="宋体" w:hAnsi="宋体" w:cs="Times New Roman"/>
          <w:szCs w:val="21"/>
          <w:highlight w:val="none"/>
        </w:rPr>
      </w:pPr>
    </w:p>
    <w:p>
      <w:pPr>
        <w:pStyle w:val="16"/>
        <w:rPr>
          <w:rFonts w:hint="eastAsia" w:ascii="宋体" w:hAnsi="宋体" w:cs="Times New Roman"/>
          <w:szCs w:val="21"/>
          <w:highlight w:val="none"/>
        </w:rPr>
      </w:pPr>
    </w:p>
    <w:p>
      <w:pPr>
        <w:pStyle w:val="16"/>
        <w:rPr>
          <w:rFonts w:hint="eastAsia" w:ascii="宋体" w:hAnsi="宋体" w:cs="Times New Roman"/>
          <w:szCs w:val="21"/>
          <w:highlight w:val="none"/>
        </w:rPr>
      </w:pPr>
    </w:p>
    <w:p>
      <w:pPr>
        <w:pStyle w:val="16"/>
        <w:rPr>
          <w:rFonts w:hint="eastAsia" w:ascii="宋体" w:hAnsi="宋体" w:cs="Times New Roman"/>
          <w:szCs w:val="21"/>
          <w:highlight w:val="none"/>
        </w:rPr>
      </w:pPr>
    </w:p>
    <w:p>
      <w:pPr>
        <w:pStyle w:val="3"/>
        <w:rPr>
          <w:rFonts w:ascii="宋体" w:hAnsi="宋体" w:cs="宋体"/>
          <w:color w:val="000000"/>
        </w:rPr>
      </w:pPr>
      <w:bookmarkStart w:id="106" w:name="_Toc7241"/>
      <w:bookmarkStart w:id="107" w:name="_Toc20302"/>
      <w:bookmarkStart w:id="108" w:name="_Toc21671"/>
      <w:r>
        <w:rPr>
          <w:rFonts w:hint="eastAsia" w:ascii="宋体" w:hAnsi="宋体" w:cs="宋体"/>
          <w:color w:val="000000"/>
        </w:rPr>
        <w:t>第四章  合同主要条款</w:t>
      </w:r>
      <w:bookmarkEnd w:id="106"/>
      <w:bookmarkEnd w:id="107"/>
      <w:bookmarkEnd w:id="108"/>
    </w:p>
    <w:p>
      <w:pPr>
        <w:tabs>
          <w:tab w:val="left" w:pos="3640"/>
        </w:tabs>
        <w:autoSpaceDE w:val="0"/>
        <w:autoSpaceDN w:val="0"/>
        <w:spacing w:line="360" w:lineRule="auto"/>
        <w:rPr>
          <w:rFonts w:ascii="宋体" w:hAnsi="宋体" w:cs="宋体"/>
          <w:color w:val="000000"/>
          <w:szCs w:val="21"/>
          <w:u w:val="single"/>
        </w:rPr>
      </w:pPr>
      <w:r>
        <w:rPr>
          <w:rFonts w:hint="eastAsia" w:ascii="宋体" w:hAnsi="宋体" w:cs="宋体"/>
          <w:color w:val="000000"/>
          <w:szCs w:val="21"/>
        </w:rPr>
        <w:t>买方（采购人）：</w:t>
      </w:r>
      <w:r>
        <w:rPr>
          <w:rFonts w:hint="eastAsia" w:ascii="宋体" w:hAnsi="宋体" w:cs="宋体"/>
          <w:color w:val="000000"/>
          <w:szCs w:val="21"/>
          <w:u w:val="single"/>
        </w:rPr>
        <w:t xml:space="preserve">                           </w:t>
      </w:r>
    </w:p>
    <w:p>
      <w:pPr>
        <w:tabs>
          <w:tab w:val="left" w:pos="3640"/>
        </w:tabs>
        <w:autoSpaceDE w:val="0"/>
        <w:autoSpaceDN w:val="0"/>
        <w:spacing w:line="360" w:lineRule="auto"/>
        <w:rPr>
          <w:rFonts w:ascii="宋体" w:hAnsi="宋体" w:cs="宋体"/>
          <w:color w:val="000000"/>
          <w:szCs w:val="21"/>
          <w:u w:val="single"/>
        </w:rPr>
      </w:pPr>
      <w:r>
        <w:rPr>
          <w:rFonts w:hint="eastAsia" w:ascii="宋体" w:hAnsi="宋体" w:cs="宋体"/>
          <w:color w:val="000000"/>
          <w:szCs w:val="21"/>
        </w:rPr>
        <w:t>卖方（成交人）：</w:t>
      </w:r>
      <w:r>
        <w:rPr>
          <w:rFonts w:hint="eastAsia" w:ascii="宋体" w:hAnsi="宋体" w:cs="宋体"/>
          <w:color w:val="000000"/>
          <w:szCs w:val="21"/>
          <w:u w:val="single"/>
        </w:rPr>
        <w:t xml:space="preserve">                           </w:t>
      </w:r>
    </w:p>
    <w:p>
      <w:pPr>
        <w:tabs>
          <w:tab w:val="left" w:pos="3640"/>
        </w:tabs>
        <w:autoSpaceDE w:val="0"/>
        <w:autoSpaceDN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根据《中华人民共和国民法典》及</w:t>
      </w:r>
      <w:r>
        <w:rPr>
          <w:rFonts w:hint="eastAsia" w:ascii="宋体" w:hAnsi="宋体" w:eastAsia="宋体" w:cs="宋体"/>
          <w:color w:val="000000"/>
          <w:szCs w:val="21"/>
          <w:u w:val="single"/>
        </w:rPr>
        <w:t xml:space="preserve">                                （项目名称）</w:t>
      </w:r>
      <w:r>
        <w:rPr>
          <w:rFonts w:hint="eastAsia" w:ascii="宋体" w:hAnsi="宋体" w:eastAsia="宋体" w:cs="宋体"/>
          <w:color w:val="000000"/>
          <w:szCs w:val="21"/>
        </w:rPr>
        <w:t>的谈判文件、响应文件等，买、卖双方经协商一致，签订如下合同条款，并共同遵守。</w:t>
      </w:r>
    </w:p>
    <w:p>
      <w:pPr>
        <w:numPr>
          <w:ilvl w:val="0"/>
          <w:numId w:val="6"/>
        </w:numPr>
        <w:tabs>
          <w:tab w:val="left" w:pos="3640"/>
        </w:tabs>
        <w:autoSpaceDE w:val="0"/>
        <w:autoSpaceDN w:val="0"/>
        <w:spacing w:line="360" w:lineRule="auto"/>
        <w:ind w:firstLine="422" w:firstLineChars="200"/>
        <w:rPr>
          <w:rFonts w:ascii="宋体" w:hAnsi="宋体" w:eastAsia="宋体" w:cs="宋体"/>
          <w:b/>
          <w:color w:val="000000"/>
          <w:spacing w:val="8"/>
          <w:szCs w:val="21"/>
        </w:rPr>
      </w:pPr>
      <w:r>
        <w:rPr>
          <w:rFonts w:hint="eastAsia" w:ascii="宋体" w:hAnsi="宋体" w:eastAsia="宋体" w:cs="宋体"/>
          <w:b/>
          <w:color w:val="000000"/>
          <w:szCs w:val="21"/>
        </w:rPr>
        <w:t>服务内容</w:t>
      </w:r>
    </w:p>
    <w:p>
      <w:pPr>
        <w:tabs>
          <w:tab w:val="left" w:pos="3640"/>
        </w:tabs>
        <w:autoSpaceDE w:val="0"/>
        <w:autoSpaceDN w:val="0"/>
        <w:spacing w:line="360" w:lineRule="auto"/>
        <w:ind w:left="422"/>
        <w:rPr>
          <w:rFonts w:ascii="宋体" w:hAnsi="宋体" w:eastAsia="宋体" w:cs="宋体"/>
          <w:b/>
          <w:color w:val="000000"/>
          <w:spacing w:val="8"/>
          <w:szCs w:val="21"/>
        </w:rPr>
      </w:pPr>
      <w:r>
        <w:rPr>
          <w:rFonts w:hint="eastAsia" w:ascii="宋体" w:hAnsi="宋体" w:eastAsia="宋体" w:cs="宋体"/>
          <w:b/>
          <w:color w:val="000000"/>
          <w:szCs w:val="21"/>
        </w:rPr>
        <w:t>服务内容：</w:t>
      </w:r>
    </w:p>
    <w:p>
      <w:pPr>
        <w:tabs>
          <w:tab w:val="left" w:pos="3640"/>
        </w:tabs>
        <w:autoSpaceDE w:val="0"/>
        <w:autoSpaceDN w:val="0"/>
        <w:spacing w:line="360" w:lineRule="auto"/>
        <w:ind w:left="422"/>
        <w:rPr>
          <w:rFonts w:ascii="宋体" w:hAnsi="宋体" w:eastAsia="宋体" w:cs="宋体"/>
          <w:b/>
          <w:color w:val="000000"/>
          <w:spacing w:val="8"/>
          <w:szCs w:val="21"/>
        </w:rPr>
      </w:pPr>
      <w:r>
        <w:rPr>
          <w:rFonts w:hint="eastAsia" w:ascii="宋体" w:hAnsi="宋体" w:eastAsia="宋体" w:cs="宋体"/>
          <w:b/>
          <w:color w:val="000000"/>
          <w:szCs w:val="21"/>
        </w:rPr>
        <w:t>合同金额：</w:t>
      </w:r>
    </w:p>
    <w:p>
      <w:pPr>
        <w:tabs>
          <w:tab w:val="left" w:pos="3640"/>
        </w:tabs>
        <w:autoSpaceDE w:val="0"/>
        <w:autoSpaceDN w:val="0"/>
        <w:spacing w:line="360" w:lineRule="auto"/>
        <w:ind w:firstLine="422" w:firstLineChars="200"/>
        <w:rPr>
          <w:rFonts w:ascii="宋体" w:hAnsi="宋体" w:eastAsia="宋体" w:cs="宋体"/>
          <w:color w:val="000000"/>
          <w:szCs w:val="21"/>
        </w:rPr>
      </w:pPr>
      <w:r>
        <w:rPr>
          <w:rFonts w:hint="eastAsia" w:ascii="宋体" w:hAnsi="宋体" w:eastAsia="宋体" w:cs="宋体"/>
          <w:b/>
          <w:color w:val="000000"/>
          <w:szCs w:val="21"/>
        </w:rPr>
        <w:t>二、服务期：</w:t>
      </w:r>
      <w:r>
        <w:rPr>
          <w:rFonts w:hint="eastAsia" w:ascii="宋体" w:hAnsi="宋体" w:eastAsia="宋体" w:cs="宋体"/>
          <w:color w:val="000000"/>
          <w:szCs w:val="21"/>
        </w:rPr>
        <w:t>自合同签订之日起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月。</w:t>
      </w:r>
    </w:p>
    <w:p>
      <w:pPr>
        <w:tabs>
          <w:tab w:val="left" w:pos="3640"/>
        </w:tabs>
        <w:autoSpaceDE w:val="0"/>
        <w:autoSpaceDN w:val="0"/>
        <w:spacing w:line="360" w:lineRule="auto"/>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三、服务人员配备：</w:t>
      </w:r>
    </w:p>
    <w:p>
      <w:pPr>
        <w:tabs>
          <w:tab w:val="left" w:pos="3640"/>
        </w:tabs>
        <w:autoSpaceDE w:val="0"/>
        <w:autoSpaceDN w:val="0"/>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四、服务地点：</w:t>
      </w:r>
    </w:p>
    <w:p>
      <w:pPr>
        <w:tabs>
          <w:tab w:val="left" w:pos="3640"/>
        </w:tabs>
        <w:autoSpaceDE w:val="0"/>
        <w:autoSpaceDN w:val="0"/>
        <w:spacing w:line="360" w:lineRule="auto"/>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五、验收：</w:t>
      </w:r>
    </w:p>
    <w:p>
      <w:pPr>
        <w:tabs>
          <w:tab w:val="left" w:pos="3640"/>
        </w:tabs>
        <w:autoSpaceDE w:val="0"/>
        <w:autoSpaceDN w:val="0"/>
        <w:spacing w:line="360" w:lineRule="auto"/>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六、付款方式：</w:t>
      </w:r>
    </w:p>
    <w:p>
      <w:pPr>
        <w:tabs>
          <w:tab w:val="left" w:pos="3640"/>
        </w:tabs>
        <w:autoSpaceDE w:val="0"/>
        <w:autoSpaceDN w:val="0"/>
        <w:spacing w:line="360" w:lineRule="auto"/>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七、履约保证金退还：</w:t>
      </w:r>
    </w:p>
    <w:p>
      <w:pPr>
        <w:tabs>
          <w:tab w:val="left" w:pos="3640"/>
        </w:tabs>
        <w:autoSpaceDE w:val="0"/>
        <w:autoSpaceDN w:val="0"/>
        <w:spacing w:line="360" w:lineRule="auto"/>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八、违约责任</w:t>
      </w:r>
    </w:p>
    <w:p>
      <w:pPr>
        <w:tabs>
          <w:tab w:val="left" w:pos="3640"/>
        </w:tabs>
        <w:autoSpaceDE w:val="0"/>
        <w:autoSpaceDN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1、买方无正当理由拒绝接受服务，买方向卖方偿付合同价的</w:t>
      </w:r>
      <w:r>
        <w:rPr>
          <w:rFonts w:hint="eastAsia" w:ascii="宋体" w:hAnsi="宋体" w:eastAsia="宋体" w:cs="宋体"/>
          <w:color w:val="000000"/>
          <w:spacing w:val="8"/>
          <w:szCs w:val="21"/>
          <w:u w:val="single"/>
        </w:rPr>
        <w:t xml:space="preserve">     </w:t>
      </w:r>
      <w:r>
        <w:rPr>
          <w:rFonts w:hint="eastAsia" w:ascii="宋体" w:hAnsi="宋体" w:eastAsia="宋体" w:cs="宋体"/>
          <w:color w:val="000000"/>
          <w:spacing w:val="8"/>
          <w:szCs w:val="21"/>
        </w:rPr>
        <w:t>％</w:t>
      </w:r>
      <w:r>
        <w:rPr>
          <w:rFonts w:hint="eastAsia" w:ascii="宋体" w:hAnsi="宋体" w:eastAsia="宋体" w:cs="宋体"/>
          <w:color w:val="000000"/>
          <w:szCs w:val="21"/>
        </w:rPr>
        <w:t>的违约金；</w:t>
      </w:r>
    </w:p>
    <w:p>
      <w:pPr>
        <w:tabs>
          <w:tab w:val="left" w:pos="3640"/>
        </w:tabs>
        <w:autoSpaceDE w:val="0"/>
        <w:autoSpaceDN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2、买方无正当理由逾期付款的，买方向卖方每日偿付合同价的</w:t>
      </w:r>
      <w:r>
        <w:rPr>
          <w:rFonts w:hint="eastAsia" w:ascii="宋体" w:hAnsi="宋体" w:eastAsia="宋体" w:cs="宋体"/>
          <w:color w:val="000000"/>
          <w:spacing w:val="8"/>
          <w:szCs w:val="21"/>
          <w:u w:val="single"/>
        </w:rPr>
        <w:t xml:space="preserve">     </w:t>
      </w:r>
      <w:r>
        <w:rPr>
          <w:rFonts w:hint="eastAsia" w:ascii="宋体" w:hAnsi="宋体" w:eastAsia="宋体" w:cs="宋体"/>
          <w:color w:val="000000"/>
          <w:szCs w:val="21"/>
        </w:rPr>
        <w:t>‰的违约金；</w:t>
      </w:r>
    </w:p>
    <w:p>
      <w:pPr>
        <w:tabs>
          <w:tab w:val="left" w:pos="3640"/>
        </w:tabs>
        <w:autoSpaceDE w:val="0"/>
        <w:autoSpaceDN w:val="0"/>
        <w:spacing w:line="500" w:lineRule="exact"/>
        <w:ind w:firstLine="452" w:firstLineChars="200"/>
        <w:rPr>
          <w:rFonts w:ascii="宋体" w:hAnsi="宋体" w:eastAsia="宋体" w:cs="宋体"/>
          <w:b/>
          <w:color w:val="000000"/>
          <w:szCs w:val="21"/>
        </w:rPr>
      </w:pPr>
      <w:r>
        <w:rPr>
          <w:rFonts w:hint="eastAsia" w:ascii="宋体" w:hAnsi="宋体" w:eastAsia="宋体" w:cs="宋体"/>
          <w:color w:val="000000"/>
          <w:spacing w:val="8"/>
          <w:szCs w:val="21"/>
        </w:rPr>
        <w:t>3、卖方不能提供服务的，卖方向买方支付合同价的</w:t>
      </w:r>
      <w:r>
        <w:rPr>
          <w:rFonts w:hint="eastAsia" w:ascii="宋体" w:hAnsi="宋体" w:eastAsia="宋体" w:cs="宋体"/>
          <w:color w:val="000000"/>
          <w:spacing w:val="8"/>
          <w:szCs w:val="21"/>
          <w:u w:val="single"/>
        </w:rPr>
        <w:t xml:space="preserve">      </w:t>
      </w:r>
      <w:r>
        <w:rPr>
          <w:rFonts w:hint="eastAsia" w:ascii="宋体" w:hAnsi="宋体" w:eastAsia="宋体" w:cs="宋体"/>
          <w:color w:val="000000"/>
          <w:spacing w:val="8"/>
          <w:szCs w:val="21"/>
        </w:rPr>
        <w:t>％的违约金；</w:t>
      </w:r>
    </w:p>
    <w:p>
      <w:pPr>
        <w:tabs>
          <w:tab w:val="left" w:pos="3640"/>
        </w:tabs>
        <w:autoSpaceDE w:val="0"/>
        <w:autoSpaceDN w:val="0"/>
        <w:spacing w:line="500" w:lineRule="exact"/>
        <w:ind w:firstLine="452" w:firstLineChars="200"/>
        <w:rPr>
          <w:rFonts w:ascii="宋体" w:hAnsi="宋体" w:eastAsia="宋体" w:cs="宋体"/>
          <w:b/>
          <w:color w:val="000000"/>
          <w:szCs w:val="21"/>
        </w:rPr>
      </w:pPr>
      <w:r>
        <w:rPr>
          <w:rFonts w:hint="eastAsia" w:ascii="宋体" w:hAnsi="宋体" w:eastAsia="宋体" w:cs="宋体"/>
          <w:color w:val="000000"/>
          <w:spacing w:val="8"/>
          <w:szCs w:val="21"/>
        </w:rPr>
        <w:t>4、卖方逾期提供服务的，卖方向买方每日偿付合同价的</w:t>
      </w:r>
      <w:r>
        <w:rPr>
          <w:rFonts w:hint="eastAsia" w:ascii="宋体" w:hAnsi="宋体" w:eastAsia="宋体" w:cs="宋体"/>
          <w:color w:val="000000"/>
          <w:spacing w:val="8"/>
          <w:szCs w:val="21"/>
          <w:u w:val="single"/>
        </w:rPr>
        <w:t xml:space="preserve">      </w:t>
      </w:r>
      <w:r>
        <w:rPr>
          <w:rFonts w:hint="eastAsia" w:ascii="宋体" w:hAnsi="宋体" w:eastAsia="宋体" w:cs="宋体"/>
          <w:color w:val="000000"/>
          <w:spacing w:val="8"/>
          <w:szCs w:val="21"/>
        </w:rPr>
        <w:t>‰的违约金。</w:t>
      </w:r>
    </w:p>
    <w:p>
      <w:pPr>
        <w:spacing w:line="500" w:lineRule="exact"/>
        <w:ind w:left="-178" w:leftChars="-85" w:firstLine="583" w:firstLineChars="257"/>
        <w:rPr>
          <w:rFonts w:ascii="宋体" w:hAnsi="宋体" w:eastAsia="宋体" w:cs="宋体"/>
          <w:b/>
          <w:color w:val="000000"/>
          <w:spacing w:val="8"/>
          <w:szCs w:val="21"/>
        </w:rPr>
      </w:pPr>
      <w:r>
        <w:rPr>
          <w:rFonts w:hint="eastAsia" w:ascii="宋体" w:hAnsi="宋体" w:eastAsia="宋体" w:cs="宋体"/>
          <w:b/>
          <w:color w:val="000000"/>
          <w:spacing w:val="8"/>
          <w:szCs w:val="21"/>
        </w:rPr>
        <w:t>九、解决合同纠纷方式</w:t>
      </w:r>
    </w:p>
    <w:p>
      <w:pPr>
        <w:tabs>
          <w:tab w:val="left" w:pos="3640"/>
        </w:tabs>
        <w:autoSpaceDE w:val="0"/>
        <w:autoSpaceDN w:val="0"/>
        <w:spacing w:line="500" w:lineRule="exact"/>
        <w:ind w:firstLine="452" w:firstLineChars="200"/>
        <w:rPr>
          <w:rFonts w:ascii="宋体" w:hAnsi="宋体" w:eastAsia="宋体" w:cs="宋体"/>
          <w:color w:val="000000"/>
          <w:spacing w:val="8"/>
          <w:szCs w:val="21"/>
        </w:rPr>
      </w:pPr>
      <w:r>
        <w:rPr>
          <w:rFonts w:hint="eastAsia" w:ascii="宋体" w:hAnsi="宋体" w:eastAsia="宋体" w:cs="宋体"/>
          <w:color w:val="000000"/>
          <w:spacing w:val="8"/>
          <w:szCs w:val="21"/>
        </w:rPr>
        <w:t>本合同如发生纠纷，买卖双方应当及时协商解决，协商不成时，按以下第（</w:t>
      </w:r>
      <w:r>
        <w:rPr>
          <w:rFonts w:hint="eastAsia" w:ascii="宋体" w:hAnsi="宋体" w:eastAsia="宋体" w:cs="Times New Roman"/>
          <w:spacing w:val="8"/>
          <w:szCs w:val="21"/>
        </w:rPr>
        <w:t>①</w:t>
      </w:r>
      <w:r>
        <w:rPr>
          <w:rFonts w:hint="eastAsia" w:ascii="宋体" w:hAnsi="宋体" w:eastAsia="宋体" w:cs="宋体"/>
          <w:color w:val="000000"/>
          <w:spacing w:val="8"/>
          <w:szCs w:val="21"/>
        </w:rPr>
        <w:t>）项方式处理：①根据《中华人民共和国仲裁法》的规定向 安庆仲裁委员会 申请仲裁。②向________人民法院起诉。</w:t>
      </w:r>
    </w:p>
    <w:p>
      <w:pPr>
        <w:spacing w:line="360" w:lineRule="auto"/>
        <w:ind w:left="-178" w:leftChars="-85" w:firstLine="583" w:firstLineChars="257"/>
        <w:rPr>
          <w:rFonts w:ascii="宋体" w:hAnsi="宋体" w:eastAsia="宋体" w:cs="Times New Roman"/>
          <w:b/>
          <w:color w:val="000000"/>
          <w:spacing w:val="8"/>
          <w:szCs w:val="21"/>
        </w:rPr>
      </w:pPr>
      <w:r>
        <w:rPr>
          <w:rFonts w:hint="eastAsia" w:ascii="宋体" w:hAnsi="宋体" w:eastAsia="宋体" w:cs="Times New Roman"/>
          <w:b/>
          <w:color w:val="000000"/>
          <w:spacing w:val="8"/>
          <w:szCs w:val="21"/>
        </w:rPr>
        <w:t>十、</w:t>
      </w:r>
      <w:r>
        <w:rPr>
          <w:rFonts w:hint="eastAsia" w:ascii="宋体" w:hAnsi="宋体" w:eastAsia="宋体" w:cs="宋体"/>
          <w:b/>
          <w:color w:val="000000"/>
          <w:szCs w:val="21"/>
        </w:rPr>
        <w:t>本合同组成及解释先后顺序：</w:t>
      </w:r>
    </w:p>
    <w:p>
      <w:pPr>
        <w:tabs>
          <w:tab w:val="left" w:pos="3640"/>
        </w:tabs>
        <w:autoSpaceDE w:val="0"/>
        <w:autoSpaceDN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1、成交通知书；</w:t>
      </w:r>
    </w:p>
    <w:p>
      <w:pPr>
        <w:tabs>
          <w:tab w:val="left" w:pos="3640"/>
        </w:tabs>
        <w:autoSpaceDE w:val="0"/>
        <w:autoSpaceDN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2、竞争性谈判文件；</w:t>
      </w:r>
    </w:p>
    <w:p>
      <w:pPr>
        <w:tabs>
          <w:tab w:val="left" w:pos="3640"/>
        </w:tabs>
        <w:autoSpaceDE w:val="0"/>
        <w:autoSpaceDN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3、本合同文本；</w:t>
      </w:r>
    </w:p>
    <w:p>
      <w:pPr>
        <w:tabs>
          <w:tab w:val="left" w:pos="3640"/>
        </w:tabs>
        <w:autoSpaceDE w:val="0"/>
        <w:autoSpaceDN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4、成交人的投标文件；　</w:t>
      </w:r>
    </w:p>
    <w:p>
      <w:pPr>
        <w:tabs>
          <w:tab w:val="left" w:pos="3640"/>
        </w:tabs>
        <w:autoSpaceDE w:val="0"/>
        <w:autoSpaceDN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5、其他补充约定事项。</w:t>
      </w:r>
    </w:p>
    <w:p>
      <w:pPr>
        <w:spacing w:line="360" w:lineRule="auto"/>
        <w:ind w:firstLine="413" w:firstLineChars="196"/>
        <w:rPr>
          <w:rFonts w:ascii="宋体" w:hAnsi="宋体" w:eastAsia="宋体" w:cs="Times New Roman"/>
          <w:b/>
          <w:color w:val="000000"/>
          <w:spacing w:val="8"/>
          <w:szCs w:val="21"/>
          <w:u w:val="single"/>
        </w:rPr>
      </w:pPr>
      <w:r>
        <w:rPr>
          <w:rFonts w:hint="eastAsia" w:ascii="宋体" w:hAnsi="宋体" w:eastAsia="宋体" w:cs="宋体"/>
          <w:b/>
          <w:color w:val="000000"/>
          <w:szCs w:val="21"/>
        </w:rPr>
        <w:t>十一、其他约定事项：</w:t>
      </w:r>
      <w:r>
        <w:rPr>
          <w:rFonts w:hint="eastAsia" w:ascii="宋体" w:hAnsi="宋体" w:eastAsia="宋体" w:cs="Times New Roman"/>
          <w:color w:val="000000"/>
          <w:spacing w:val="8"/>
          <w:szCs w:val="21"/>
          <w:u w:val="single"/>
        </w:rPr>
        <w:t xml:space="preserve"> 　　　　　　　　　　　  </w:t>
      </w:r>
      <w:r>
        <w:rPr>
          <w:rFonts w:hint="eastAsia" w:ascii="宋体" w:hAnsi="宋体" w:eastAsia="宋体" w:cs="Times New Roman"/>
          <w:b/>
          <w:color w:val="000000"/>
          <w:spacing w:val="8"/>
          <w:szCs w:val="21"/>
          <w:u w:val="single"/>
        </w:rPr>
        <w:t xml:space="preserve">                               </w:t>
      </w:r>
    </w:p>
    <w:p>
      <w:pPr>
        <w:spacing w:line="360" w:lineRule="auto"/>
        <w:ind w:left="-178" w:leftChars="-85" w:firstLine="177" w:firstLineChars="78"/>
        <w:rPr>
          <w:rFonts w:ascii="宋体" w:hAnsi="宋体" w:eastAsia="宋体" w:cs="Times New Roman"/>
          <w:color w:val="000000"/>
          <w:spacing w:val="8"/>
          <w:szCs w:val="21"/>
          <w:u w:val="single"/>
        </w:rPr>
      </w:pPr>
      <w:r>
        <w:rPr>
          <w:rFonts w:hint="eastAsia" w:ascii="宋体" w:hAnsi="宋体" w:eastAsia="宋体" w:cs="Times New Roman"/>
          <w:b/>
          <w:color w:val="000000"/>
          <w:spacing w:val="8"/>
          <w:szCs w:val="21"/>
          <w:u w:val="single"/>
        </w:rPr>
        <w:t xml:space="preserve">                                                       </w:t>
      </w:r>
      <w:r>
        <w:rPr>
          <w:rFonts w:hint="eastAsia" w:ascii="宋体" w:hAnsi="宋体" w:eastAsia="宋体" w:cs="Times New Roman"/>
          <w:color w:val="000000"/>
          <w:spacing w:val="8"/>
          <w:szCs w:val="21"/>
          <w:u w:val="single"/>
        </w:rPr>
        <w:t xml:space="preserve">                    </w:t>
      </w:r>
    </w:p>
    <w:p>
      <w:pPr>
        <w:spacing w:line="360" w:lineRule="auto"/>
        <w:ind w:left="-178" w:leftChars="-85" w:firstLine="176" w:firstLineChars="78"/>
        <w:rPr>
          <w:rFonts w:ascii="宋体" w:hAnsi="宋体" w:eastAsia="宋体" w:cs="Times New Roman"/>
          <w:color w:val="000000"/>
          <w:spacing w:val="8"/>
          <w:szCs w:val="21"/>
          <w:u w:val="single"/>
        </w:rPr>
      </w:pPr>
      <w:r>
        <w:rPr>
          <w:rFonts w:hint="eastAsia" w:ascii="宋体" w:hAnsi="宋体" w:eastAsia="宋体" w:cs="Times New Roman"/>
          <w:color w:val="000000"/>
          <w:spacing w:val="8"/>
          <w:szCs w:val="21"/>
          <w:u w:val="single"/>
        </w:rPr>
        <w:t xml:space="preserve">                                                                           </w:t>
      </w:r>
    </w:p>
    <w:p>
      <w:pPr>
        <w:spacing w:line="360" w:lineRule="auto"/>
        <w:ind w:left="-178" w:leftChars="-85" w:firstLine="176" w:firstLineChars="78"/>
        <w:rPr>
          <w:rFonts w:ascii="宋体" w:hAnsi="宋体" w:eastAsia="宋体" w:cs="宋体"/>
          <w:color w:val="000000"/>
          <w:spacing w:val="8"/>
          <w:szCs w:val="21"/>
          <w:u w:val="single"/>
        </w:rPr>
      </w:pPr>
    </w:p>
    <w:p>
      <w:pPr>
        <w:tabs>
          <w:tab w:val="left" w:pos="3640"/>
        </w:tabs>
        <w:autoSpaceDE w:val="0"/>
        <w:autoSpaceDN w:val="0"/>
        <w:spacing w:line="360" w:lineRule="auto"/>
        <w:ind w:firstLine="420" w:firstLineChars="200"/>
        <w:rPr>
          <w:rFonts w:ascii="宋体" w:hAnsi="宋体" w:eastAsia="宋体" w:cs="宋体"/>
          <w:color w:val="000000"/>
          <w:szCs w:val="21"/>
        </w:rPr>
      </w:pPr>
    </w:p>
    <w:p>
      <w:pPr>
        <w:tabs>
          <w:tab w:val="left" w:pos="3640"/>
        </w:tabs>
        <w:autoSpaceDE w:val="0"/>
        <w:autoSpaceDN w:val="0"/>
        <w:spacing w:line="48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 xml:space="preserve">买  方                     </w:t>
      </w:r>
      <w:r>
        <w:rPr>
          <w:rFonts w:ascii="宋体" w:hAnsi="宋体" w:eastAsia="宋体" w:cs="宋体"/>
          <w:color w:val="000000"/>
          <w:szCs w:val="21"/>
        </w:rPr>
        <w:t xml:space="preserve">      </w:t>
      </w:r>
      <w:r>
        <w:rPr>
          <w:rFonts w:hint="eastAsia" w:ascii="宋体" w:hAnsi="宋体" w:eastAsia="宋体" w:cs="宋体"/>
          <w:color w:val="000000"/>
          <w:szCs w:val="21"/>
        </w:rPr>
        <w:t xml:space="preserve"> </w:t>
      </w:r>
      <w:r>
        <w:rPr>
          <w:rFonts w:ascii="宋体" w:hAnsi="宋体" w:eastAsia="宋体" w:cs="宋体"/>
          <w:color w:val="000000"/>
          <w:szCs w:val="21"/>
        </w:rPr>
        <w:t xml:space="preserve">        </w:t>
      </w:r>
      <w:r>
        <w:rPr>
          <w:rFonts w:hint="eastAsia" w:ascii="宋体" w:hAnsi="宋体" w:eastAsia="宋体" w:cs="宋体"/>
          <w:color w:val="000000"/>
          <w:szCs w:val="21"/>
        </w:rPr>
        <w:t xml:space="preserve"> 卖   方                        </w:t>
      </w:r>
    </w:p>
    <w:p>
      <w:pPr>
        <w:tabs>
          <w:tab w:val="left" w:pos="3640"/>
        </w:tabs>
        <w:autoSpaceDE w:val="0"/>
        <w:autoSpaceDN w:val="0"/>
        <w:spacing w:line="48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采购人（单位盖章）：</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r>
        <w:rPr>
          <w:rFonts w:ascii="宋体" w:hAnsi="宋体" w:eastAsia="宋体" w:cs="宋体"/>
          <w:color w:val="000000"/>
          <w:szCs w:val="21"/>
        </w:rPr>
        <w:t xml:space="preserve">           </w:t>
      </w:r>
      <w:r>
        <w:rPr>
          <w:rFonts w:hint="eastAsia" w:ascii="宋体" w:hAnsi="宋体" w:eastAsia="宋体" w:cs="宋体"/>
          <w:color w:val="000000"/>
          <w:szCs w:val="21"/>
        </w:rPr>
        <w:t>成交人（单位盖章）：</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p>
      <w:pPr>
        <w:tabs>
          <w:tab w:val="left" w:pos="3640"/>
        </w:tabs>
        <w:autoSpaceDE w:val="0"/>
        <w:autoSpaceDN w:val="0"/>
        <w:spacing w:line="48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法定代表人</w:t>
      </w:r>
      <w:r>
        <w:rPr>
          <w:rFonts w:ascii="宋体" w:hAnsi="宋体" w:eastAsia="宋体" w:cs="宋体"/>
          <w:color w:val="000000"/>
          <w:szCs w:val="21"/>
        </w:rPr>
        <w:t xml:space="preserve">                                 </w:t>
      </w:r>
      <w:r>
        <w:rPr>
          <w:rFonts w:hint="eastAsia" w:ascii="宋体" w:hAnsi="宋体" w:eastAsia="宋体" w:cs="宋体"/>
          <w:color w:val="000000"/>
          <w:szCs w:val="21"/>
        </w:rPr>
        <w:t>法定代表人</w:t>
      </w:r>
    </w:p>
    <w:p>
      <w:pPr>
        <w:tabs>
          <w:tab w:val="left" w:pos="3640"/>
        </w:tabs>
        <w:autoSpaceDE w:val="0"/>
        <w:autoSpaceDN w:val="0"/>
        <w:spacing w:line="48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或授权代表（签字）：</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r>
        <w:rPr>
          <w:rFonts w:ascii="宋体" w:hAnsi="宋体" w:eastAsia="宋体" w:cs="宋体"/>
          <w:color w:val="000000"/>
          <w:szCs w:val="21"/>
        </w:rPr>
        <w:t xml:space="preserve">            </w:t>
      </w:r>
      <w:r>
        <w:rPr>
          <w:rFonts w:hint="eastAsia" w:ascii="宋体" w:hAnsi="宋体" w:eastAsia="宋体" w:cs="宋体"/>
          <w:color w:val="000000"/>
          <w:szCs w:val="21"/>
        </w:rPr>
        <w:t>或授权代表（签字）：</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p>
      <w:pPr>
        <w:tabs>
          <w:tab w:val="left" w:pos="3640"/>
        </w:tabs>
        <w:autoSpaceDE w:val="0"/>
        <w:autoSpaceDN w:val="0"/>
        <w:spacing w:line="480" w:lineRule="auto"/>
        <w:rPr>
          <w:rFonts w:ascii="宋体" w:hAnsi="宋体" w:cs="宋体"/>
          <w:color w:val="000000"/>
          <w:szCs w:val="21"/>
        </w:rPr>
      </w:pPr>
      <w:r>
        <w:rPr>
          <w:rFonts w:hint="eastAsia" w:ascii="宋体" w:hAnsi="宋体" w:eastAsia="宋体" w:cs="宋体"/>
          <w:color w:val="000000"/>
          <w:szCs w:val="21"/>
        </w:rPr>
        <w:t xml:space="preserve"> </w:t>
      </w:r>
      <w:r>
        <w:rPr>
          <w:rFonts w:ascii="宋体" w:hAnsi="宋体" w:eastAsia="宋体" w:cs="宋体"/>
          <w:color w:val="000000"/>
          <w:szCs w:val="21"/>
        </w:rPr>
        <w:t xml:space="preserve">         </w:t>
      </w:r>
      <w:r>
        <w:rPr>
          <w:rFonts w:hint="eastAsia" w:ascii="宋体" w:hAnsi="宋体" w:eastAsia="宋体" w:cs="宋体"/>
          <w:color w:val="000000"/>
          <w:szCs w:val="21"/>
        </w:rPr>
        <w:t xml:space="preserve">年   月    日             </w:t>
      </w:r>
      <w:r>
        <w:rPr>
          <w:rFonts w:ascii="宋体" w:hAnsi="宋体" w:eastAsia="宋体" w:cs="宋体"/>
          <w:color w:val="000000"/>
          <w:szCs w:val="21"/>
        </w:rPr>
        <w:t xml:space="preserve">   </w:t>
      </w:r>
      <w:r>
        <w:rPr>
          <w:rFonts w:hint="eastAsia" w:ascii="宋体" w:hAnsi="宋体" w:eastAsia="宋体" w:cs="宋体"/>
          <w:color w:val="000000"/>
          <w:szCs w:val="21"/>
        </w:rPr>
        <w:t xml:space="preserve">   </w:t>
      </w:r>
      <w:r>
        <w:rPr>
          <w:rFonts w:ascii="宋体" w:hAnsi="宋体" w:eastAsia="宋体" w:cs="宋体"/>
          <w:color w:val="000000"/>
          <w:szCs w:val="21"/>
        </w:rPr>
        <w:t xml:space="preserve">         </w:t>
      </w:r>
      <w:r>
        <w:rPr>
          <w:rFonts w:hint="eastAsia" w:ascii="宋体" w:hAnsi="宋体" w:eastAsia="宋体" w:cs="宋体"/>
          <w:color w:val="000000"/>
          <w:szCs w:val="21"/>
        </w:rPr>
        <w:t xml:space="preserve">年   月    日          </w:t>
      </w:r>
    </w:p>
    <w:p>
      <w:pPr>
        <w:widowControl/>
        <w:jc w:val="left"/>
        <w:rPr>
          <w:rFonts w:ascii="宋体" w:hAnsi="宋体" w:cs="宋体"/>
          <w:color w:val="000000"/>
          <w:szCs w:val="21"/>
        </w:rPr>
      </w:pPr>
      <w:r>
        <w:rPr>
          <w:rFonts w:ascii="宋体" w:hAnsi="宋体" w:cs="宋体"/>
          <w:color w:val="000000"/>
          <w:szCs w:val="21"/>
        </w:rPr>
        <w:br w:type="page"/>
      </w:r>
    </w:p>
    <w:p>
      <w:pPr>
        <w:pStyle w:val="3"/>
        <w:rPr>
          <w:rFonts w:ascii="宋体" w:hAnsi="宋体" w:cs="宋体"/>
          <w:color w:val="000000"/>
        </w:rPr>
      </w:pPr>
      <w:bookmarkStart w:id="109" w:name="_Toc26873"/>
      <w:bookmarkStart w:id="110" w:name="_Toc2526"/>
      <w:bookmarkStart w:id="111" w:name="_Toc19036"/>
      <w:r>
        <w:rPr>
          <w:rFonts w:hint="eastAsia" w:ascii="宋体" w:hAnsi="宋体" w:cs="宋体"/>
          <w:color w:val="000000"/>
        </w:rPr>
        <w:t>第五章   谈判响应文件格式</w:t>
      </w:r>
      <w:bookmarkEnd w:id="109"/>
      <w:bookmarkEnd w:id="110"/>
      <w:bookmarkEnd w:id="111"/>
    </w:p>
    <w:p>
      <w:pPr>
        <w:spacing w:line="360" w:lineRule="auto"/>
        <w:jc w:val="right"/>
        <w:rPr>
          <w:rFonts w:ascii="宋体" w:hAnsi="宋体" w:cs="宋体"/>
          <w:b/>
          <w:color w:val="000000"/>
          <w:spacing w:val="20"/>
          <w:sz w:val="36"/>
          <w:szCs w:val="36"/>
          <w:u w:val="single"/>
        </w:rPr>
      </w:pPr>
      <w:r>
        <w:rPr>
          <w:rFonts w:hint="eastAsia" w:ascii="仿宋_GB2312" w:hAnsi="宋体" w:eastAsia="仿宋_GB2312"/>
          <w:b/>
          <w:color w:val="000000"/>
          <w:sz w:val="28"/>
          <w:szCs w:val="28"/>
          <w:bdr w:val="single" w:color="auto" w:sz="4" w:space="0"/>
        </w:rPr>
        <w:t>正本或副本</w:t>
      </w:r>
    </w:p>
    <w:p>
      <w:pPr>
        <w:spacing w:line="360" w:lineRule="auto"/>
        <w:jc w:val="center"/>
        <w:rPr>
          <w:rFonts w:ascii="宋体" w:hAnsi="宋体" w:cs="宋体"/>
          <w:b/>
          <w:color w:val="000000"/>
          <w:spacing w:val="20"/>
          <w:sz w:val="36"/>
          <w:szCs w:val="36"/>
        </w:rPr>
      </w:pPr>
      <w:r>
        <w:rPr>
          <w:rFonts w:hint="eastAsia" w:ascii="宋体" w:hAnsi="宋体" w:cs="宋体"/>
          <w:b/>
          <w:color w:val="000000"/>
          <w:spacing w:val="20"/>
          <w:sz w:val="36"/>
          <w:szCs w:val="36"/>
          <w:u w:val="single"/>
        </w:rPr>
        <w:t xml:space="preserve">                              </w:t>
      </w:r>
      <w:r>
        <w:rPr>
          <w:rFonts w:hint="eastAsia" w:ascii="宋体" w:hAnsi="宋体" w:cs="宋体"/>
          <w:b/>
          <w:color w:val="000000"/>
          <w:spacing w:val="20"/>
          <w:sz w:val="36"/>
          <w:szCs w:val="36"/>
        </w:rPr>
        <w:t>采购</w:t>
      </w: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谈</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判</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响</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应</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文</w:t>
      </w:r>
    </w:p>
    <w:p>
      <w:pPr>
        <w:spacing w:line="360" w:lineRule="auto"/>
        <w:jc w:val="center"/>
        <w:rPr>
          <w:rFonts w:ascii="宋体" w:hAnsi="宋体" w:cs="宋体"/>
          <w:color w:val="000000"/>
          <w:sz w:val="24"/>
        </w:rPr>
      </w:pPr>
      <w:r>
        <w:rPr>
          <w:rFonts w:hint="eastAsia" w:ascii="宋体" w:hAnsi="宋体" w:cs="宋体"/>
          <w:b/>
          <w:color w:val="000000"/>
          <w:sz w:val="72"/>
          <w:szCs w:val="72"/>
        </w:rPr>
        <w:t>件</w:t>
      </w:r>
    </w:p>
    <w:p>
      <w:pPr>
        <w:spacing w:line="360" w:lineRule="auto"/>
        <w:ind w:firstLine="148" w:firstLineChars="49"/>
        <w:rPr>
          <w:rFonts w:ascii="宋体" w:hAnsi="宋体" w:cs="宋体"/>
          <w:b/>
          <w:color w:val="000000"/>
          <w:sz w:val="30"/>
          <w:szCs w:val="30"/>
        </w:rPr>
      </w:pPr>
      <w:r>
        <w:rPr>
          <w:rFonts w:hint="eastAsia" w:ascii="宋体" w:hAnsi="宋体" w:cs="宋体"/>
          <w:b/>
          <w:color w:val="000000"/>
          <w:sz w:val="30"/>
          <w:szCs w:val="30"/>
        </w:rPr>
        <w:t xml:space="preserve">采购人名称：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30"/>
          <w:szCs w:val="30"/>
        </w:rPr>
      </w:pPr>
    </w:p>
    <w:p>
      <w:pPr>
        <w:spacing w:line="360" w:lineRule="auto"/>
        <w:ind w:firstLine="148" w:firstLineChars="49"/>
        <w:rPr>
          <w:rFonts w:ascii="宋体" w:hAnsi="宋体" w:cs="宋体"/>
          <w:b/>
          <w:color w:val="000000"/>
          <w:sz w:val="30"/>
          <w:szCs w:val="30"/>
        </w:rPr>
      </w:pPr>
      <w:r>
        <w:rPr>
          <w:rFonts w:hint="eastAsia" w:ascii="宋体" w:hAnsi="宋体" w:cs="宋体"/>
          <w:b/>
          <w:color w:val="000000"/>
          <w:sz w:val="30"/>
          <w:szCs w:val="30"/>
        </w:rPr>
        <w:t xml:space="preserve">谈判响应人名称： </w:t>
      </w:r>
      <w:r>
        <w:rPr>
          <w:rFonts w:hint="eastAsia" w:ascii="宋体" w:hAnsi="宋体" w:cs="宋体"/>
          <w:b/>
          <w:color w:val="000000"/>
          <w:sz w:val="30"/>
          <w:szCs w:val="30"/>
          <w:u w:val="single"/>
        </w:rPr>
        <w:t xml:space="preserve">                                   （盖 章）           </w:t>
      </w:r>
    </w:p>
    <w:p>
      <w:pPr>
        <w:spacing w:line="360" w:lineRule="auto"/>
        <w:rPr>
          <w:rFonts w:ascii="宋体" w:hAnsi="宋体" w:cs="宋体"/>
          <w:b/>
          <w:color w:val="000000"/>
          <w:sz w:val="30"/>
          <w:szCs w:val="30"/>
        </w:rPr>
      </w:pPr>
    </w:p>
    <w:p>
      <w:pPr>
        <w:spacing w:line="360" w:lineRule="auto"/>
        <w:ind w:firstLine="148" w:firstLineChars="49"/>
        <w:jc w:val="left"/>
        <w:rPr>
          <w:rFonts w:ascii="宋体" w:hAnsi="宋体" w:cs="宋体"/>
          <w:b/>
          <w:sz w:val="30"/>
          <w:szCs w:val="30"/>
        </w:rPr>
      </w:pPr>
      <w:r>
        <w:rPr>
          <w:rFonts w:hint="eastAsia" w:ascii="宋体" w:hAnsi="宋体" w:cs="宋体"/>
          <w:b/>
          <w:sz w:val="30"/>
          <w:szCs w:val="30"/>
        </w:rPr>
        <w:t>法定代表人或委托代理人：</w:t>
      </w:r>
      <w:r>
        <w:rPr>
          <w:rFonts w:hint="eastAsia" w:ascii="宋体" w:hAnsi="宋体" w:cs="宋体"/>
          <w:b/>
          <w:sz w:val="30"/>
          <w:szCs w:val="30"/>
          <w:u w:val="single"/>
        </w:rPr>
        <w:t xml:space="preserve">                       (签字或盖章) </w:t>
      </w:r>
    </w:p>
    <w:p>
      <w:pPr>
        <w:spacing w:line="360" w:lineRule="auto"/>
        <w:rPr>
          <w:rFonts w:ascii="宋体" w:hAnsi="宋体" w:cs="宋体"/>
          <w:color w:val="000000"/>
          <w:sz w:val="30"/>
          <w:szCs w:val="30"/>
        </w:rPr>
      </w:pPr>
    </w:p>
    <w:p>
      <w:pPr>
        <w:spacing w:line="360" w:lineRule="auto"/>
        <w:jc w:val="center"/>
        <w:rPr>
          <w:rFonts w:ascii="宋体" w:hAnsi="宋体" w:cs="宋体"/>
          <w:b/>
          <w:color w:val="000000"/>
          <w:sz w:val="30"/>
          <w:szCs w:val="30"/>
        </w:rPr>
      </w:pPr>
      <w:r>
        <w:rPr>
          <w:rFonts w:hint="eastAsia" w:ascii="宋体" w:hAnsi="宋体" w:cs="宋体"/>
          <w:b/>
          <w:color w:val="000000"/>
          <w:sz w:val="30"/>
          <w:szCs w:val="30"/>
        </w:rPr>
        <w:t>日期：</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年</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月</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日</w:t>
      </w:r>
    </w:p>
    <w:p>
      <w:pPr>
        <w:spacing w:line="360" w:lineRule="auto"/>
        <w:jc w:val="center"/>
        <w:rPr>
          <w:rFonts w:ascii="宋体" w:hAnsi="宋体" w:cs="宋体"/>
          <w:b/>
          <w:color w:val="000000"/>
          <w:sz w:val="30"/>
          <w:szCs w:val="30"/>
        </w:rPr>
      </w:pPr>
    </w:p>
    <w:p>
      <w:pPr>
        <w:spacing w:line="360" w:lineRule="auto"/>
        <w:jc w:val="center"/>
        <w:rPr>
          <w:rFonts w:ascii="宋体" w:hAnsi="宋体" w:cs="宋体"/>
          <w:color w:val="000000"/>
          <w:sz w:val="24"/>
        </w:rPr>
      </w:pPr>
    </w:p>
    <w:p>
      <w:pPr>
        <w:spacing w:line="360" w:lineRule="auto"/>
        <w:jc w:val="center"/>
        <w:rPr>
          <w:rFonts w:ascii="宋体" w:hAnsi="宋体" w:cs="宋体"/>
          <w:color w:val="000000"/>
          <w:sz w:val="24"/>
        </w:rPr>
      </w:pPr>
    </w:p>
    <w:p>
      <w:pPr>
        <w:jc w:val="center"/>
        <w:rPr>
          <w:rFonts w:ascii="宋体" w:hAnsi="宋体" w:cs="宋体"/>
          <w:b/>
          <w:color w:val="000000"/>
          <w:sz w:val="30"/>
          <w:szCs w:val="30"/>
        </w:rPr>
      </w:pPr>
      <w:r>
        <w:rPr>
          <w:rFonts w:hint="eastAsia" w:ascii="宋体" w:hAnsi="宋体" w:cs="宋体"/>
          <w:b/>
          <w:color w:val="000000"/>
          <w:sz w:val="30"/>
          <w:szCs w:val="30"/>
        </w:rPr>
        <w:t>目 录</w:t>
      </w:r>
    </w:p>
    <w:p>
      <w:pPr>
        <w:spacing w:line="480" w:lineRule="auto"/>
        <w:ind w:firstLine="480" w:firstLineChars="200"/>
        <w:rPr>
          <w:rFonts w:ascii="宋体" w:hAnsi="宋体" w:cs="宋体"/>
          <w:color w:val="000000"/>
          <w:sz w:val="24"/>
        </w:rPr>
      </w:pPr>
      <w:r>
        <w:rPr>
          <w:rFonts w:hint="eastAsia" w:ascii="宋体" w:hAnsi="宋体" w:cs="宋体"/>
          <w:color w:val="000000"/>
          <w:sz w:val="24"/>
        </w:rPr>
        <w:t>一、谈判响应函</w:t>
      </w:r>
    </w:p>
    <w:p>
      <w:pPr>
        <w:spacing w:line="480" w:lineRule="auto"/>
        <w:ind w:firstLine="480" w:firstLineChars="200"/>
        <w:rPr>
          <w:rFonts w:ascii="宋体" w:hAnsi="宋体" w:cs="宋体"/>
          <w:color w:val="000000"/>
          <w:sz w:val="24"/>
        </w:rPr>
      </w:pPr>
      <w:r>
        <w:rPr>
          <w:rFonts w:hint="eastAsia" w:ascii="宋体" w:hAnsi="宋体" w:cs="宋体"/>
          <w:color w:val="000000"/>
          <w:sz w:val="24"/>
        </w:rPr>
        <w:t>二、服务报价表（首轮）、最终报价表</w:t>
      </w:r>
    </w:p>
    <w:p>
      <w:pPr>
        <w:spacing w:line="480" w:lineRule="auto"/>
        <w:ind w:firstLine="480" w:firstLineChars="200"/>
        <w:rPr>
          <w:rFonts w:ascii="宋体" w:hAnsi="宋体" w:cs="宋体"/>
          <w:color w:val="000000"/>
          <w:sz w:val="24"/>
        </w:rPr>
      </w:pPr>
      <w:r>
        <w:rPr>
          <w:rFonts w:hint="eastAsia" w:ascii="宋体" w:hAnsi="宋体" w:cs="宋体"/>
          <w:color w:val="000000"/>
          <w:sz w:val="24"/>
        </w:rPr>
        <w:t>三、服务内容及质量要求响应表</w:t>
      </w:r>
    </w:p>
    <w:p>
      <w:pPr>
        <w:spacing w:line="480" w:lineRule="auto"/>
        <w:ind w:firstLine="480" w:firstLineChars="200"/>
        <w:rPr>
          <w:rFonts w:ascii="宋体" w:hAnsi="宋体" w:cs="宋体"/>
          <w:color w:val="000000"/>
          <w:sz w:val="24"/>
        </w:rPr>
      </w:pPr>
      <w:r>
        <w:rPr>
          <w:rFonts w:hint="eastAsia" w:ascii="宋体" w:hAnsi="宋体" w:cs="宋体"/>
          <w:color w:val="000000"/>
          <w:sz w:val="24"/>
        </w:rPr>
        <w:t>四、服务方案</w:t>
      </w:r>
    </w:p>
    <w:p>
      <w:pPr>
        <w:spacing w:line="480" w:lineRule="auto"/>
        <w:ind w:firstLine="480" w:firstLineChars="200"/>
        <w:rPr>
          <w:rFonts w:ascii="宋体" w:hAnsi="宋体" w:cs="宋体"/>
          <w:color w:val="000000"/>
          <w:sz w:val="24"/>
        </w:rPr>
      </w:pPr>
      <w:r>
        <w:rPr>
          <w:rFonts w:hint="eastAsia" w:ascii="宋体" w:hAnsi="宋体" w:cs="宋体"/>
          <w:color w:val="000000"/>
          <w:sz w:val="24"/>
        </w:rPr>
        <w:t>五、诚信谈判响应承诺书</w:t>
      </w:r>
    </w:p>
    <w:p>
      <w:pPr>
        <w:spacing w:line="480" w:lineRule="auto"/>
        <w:ind w:firstLine="480" w:firstLineChars="200"/>
        <w:rPr>
          <w:rFonts w:ascii="宋体" w:hAnsi="宋体" w:cs="宋体"/>
          <w:color w:val="000000"/>
          <w:sz w:val="24"/>
        </w:rPr>
      </w:pPr>
      <w:r>
        <w:rPr>
          <w:rFonts w:hint="eastAsia" w:ascii="宋体" w:hAnsi="宋体" w:cs="宋体"/>
          <w:color w:val="000000"/>
          <w:sz w:val="24"/>
        </w:rPr>
        <w:t>六、谈判证明材料</w:t>
      </w: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pStyle w:val="16"/>
        <w:rPr>
          <w:rFonts w:ascii="宋体" w:hAnsi="宋体" w:cs="宋体"/>
          <w:color w:val="000000"/>
          <w:sz w:val="24"/>
        </w:rPr>
      </w:pPr>
    </w:p>
    <w:p>
      <w:pPr>
        <w:pStyle w:val="16"/>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pStyle w:val="6"/>
        <w:jc w:val="center"/>
        <w:rPr>
          <w:rFonts w:hAnsi="宋体" w:cs="宋体"/>
          <w:color w:val="000000"/>
        </w:rPr>
      </w:pPr>
      <w:bookmarkStart w:id="112" w:name="_Toc31388"/>
      <w:bookmarkStart w:id="113" w:name="_Toc13905"/>
      <w:r>
        <w:rPr>
          <w:rFonts w:hint="eastAsia" w:hAnsi="宋体" w:cs="宋体"/>
          <w:color w:val="000000"/>
        </w:rPr>
        <w:t>一、谈判响应函</w:t>
      </w:r>
      <w:bookmarkEnd w:id="112"/>
      <w:bookmarkEnd w:id="113"/>
    </w:p>
    <w:p>
      <w:pPr>
        <w:tabs>
          <w:tab w:val="left" w:pos="5580"/>
        </w:tabs>
        <w:spacing w:before="120" w:line="360" w:lineRule="auto"/>
        <w:rPr>
          <w:rFonts w:ascii="宋体" w:hAnsi="宋体" w:eastAsia="宋体" w:cs="宋体"/>
          <w:color w:val="000000"/>
          <w:szCs w:val="21"/>
        </w:rPr>
      </w:pPr>
      <w:r>
        <w:rPr>
          <w:rFonts w:hint="eastAsia" w:ascii="宋体" w:hAnsi="宋体" w:eastAsia="宋体" w:cs="宋体"/>
          <w:color w:val="000000"/>
          <w:szCs w:val="21"/>
        </w:rPr>
        <w:t>致：</w:t>
      </w:r>
      <w:r>
        <w:rPr>
          <w:rFonts w:hint="eastAsia" w:ascii="宋体" w:hAnsi="宋体" w:eastAsia="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eastAsia="宋体" w:cs="宋体"/>
          <w:color w:val="000000"/>
          <w:szCs w:val="21"/>
          <w:u w:val="single"/>
        </w:rPr>
        <w:t>安庆日报社</w:t>
      </w:r>
      <w:r>
        <w:rPr>
          <w:rFonts w:hint="eastAsia" w:ascii="宋体" w:hAnsi="宋体" w:cs="宋体"/>
          <w:color w:val="000000"/>
          <w:szCs w:val="21"/>
          <w:u w:val="single"/>
          <w:lang w:val="en-US" w:eastAsia="zh-CN"/>
        </w:rPr>
        <w:t xml:space="preserve"> </w:t>
      </w:r>
      <w:r>
        <w:rPr>
          <w:rFonts w:hint="eastAsia" w:ascii="宋体" w:hAnsi="宋体" w:eastAsia="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（采购人名称）</w:t>
      </w:r>
    </w:p>
    <w:p>
      <w:pPr>
        <w:widowControl w:val="0"/>
        <w:tabs>
          <w:tab w:val="left" w:pos="5580"/>
        </w:tabs>
        <w:spacing w:line="360" w:lineRule="auto"/>
        <w:ind w:firstLine="420" w:firstLineChars="20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1、根据贵方</w:t>
      </w:r>
      <w:r>
        <w:rPr>
          <w:rFonts w:hint="eastAsia" w:ascii="宋体" w:hAnsi="宋体" w:eastAsia="宋体" w:cs="宋体"/>
          <w:color w:val="000000"/>
          <w:kern w:val="2"/>
          <w:sz w:val="21"/>
          <w:szCs w:val="21"/>
          <w:u w:val="single"/>
          <w:lang w:val="en-US" w:eastAsia="zh-CN" w:bidi="ar-SA"/>
        </w:rPr>
        <w:t>CG-AQ-W2022-18</w:t>
      </w:r>
      <w:r>
        <w:rPr>
          <w:rFonts w:hint="eastAsia" w:ascii="宋体" w:hAnsi="宋体" w:cs="宋体"/>
          <w:color w:val="000000"/>
          <w:kern w:val="2"/>
          <w:sz w:val="21"/>
          <w:szCs w:val="21"/>
          <w:u w:val="single"/>
          <w:lang w:val="en-US" w:eastAsia="zh-CN" w:bidi="ar-SA"/>
        </w:rPr>
        <w:t>3</w:t>
      </w:r>
      <w:r>
        <w:rPr>
          <w:rFonts w:hint="eastAsia" w:ascii="宋体" w:hAnsi="宋体" w:eastAsia="宋体" w:cs="宋体"/>
          <w:color w:val="000000"/>
          <w:kern w:val="2"/>
          <w:sz w:val="21"/>
          <w:szCs w:val="21"/>
          <w:lang w:val="en-US" w:eastAsia="zh-CN" w:bidi="ar-SA"/>
        </w:rPr>
        <w:t>号竞争性谈判公告，我方决定参加贵方组织的</w:t>
      </w:r>
      <w:r>
        <w:rPr>
          <w:rFonts w:hint="eastAsia" w:ascii="宋体" w:hAnsi="宋体" w:cs="宋体"/>
          <w:color w:val="000000"/>
          <w:kern w:val="2"/>
          <w:sz w:val="21"/>
          <w:szCs w:val="21"/>
          <w:u w:val="single"/>
          <w:lang w:val="en-US" w:eastAsia="zh-CN" w:bidi="ar-SA"/>
        </w:rPr>
        <w:t>安庆市新闻传媒中心网络安全等级保护测评服务项目（三次）</w:t>
      </w:r>
      <w:r>
        <w:rPr>
          <w:rFonts w:hint="eastAsia" w:ascii="宋体" w:hAnsi="宋体" w:eastAsia="宋体" w:cs="宋体"/>
          <w:color w:val="000000"/>
          <w:kern w:val="2"/>
          <w:sz w:val="21"/>
          <w:szCs w:val="21"/>
          <w:lang w:val="en-US" w:eastAsia="zh-CN" w:bidi="ar-SA"/>
        </w:rPr>
        <w:t>项目的采购活动。我方授权</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(姓名和职务)代表我方</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（谈判响应人的名称）全权处理本项目谈判响应的有关事宜。</w:t>
      </w:r>
    </w:p>
    <w:p>
      <w:pPr>
        <w:widowControl w:val="0"/>
        <w:tabs>
          <w:tab w:val="left" w:pos="5580"/>
        </w:tabs>
        <w:spacing w:line="360" w:lineRule="auto"/>
        <w:ind w:firstLine="420" w:firstLineChars="20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2、我方愿意按照竞争性谈判文件约定的各项要求，向采购人提供所需的服务，报价为人民币（大写）</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(小写)</w:t>
      </w:r>
      <w:r>
        <w:rPr>
          <w:rFonts w:hint="eastAsia" w:ascii="宋体" w:hAnsi="宋体" w:eastAsia="宋体" w:cs="宋体"/>
          <w:color w:val="000000"/>
          <w:kern w:val="2"/>
          <w:sz w:val="21"/>
          <w:szCs w:val="21"/>
          <w:u w:val="single"/>
          <w:lang w:val="en-US" w:eastAsia="zh-CN" w:bidi="ar-SA"/>
        </w:rPr>
        <w:t xml:space="preserve">                  元</w:t>
      </w:r>
      <w:r>
        <w:rPr>
          <w:rFonts w:hint="eastAsia" w:ascii="宋体" w:hAnsi="宋体" w:eastAsia="宋体" w:cs="宋体"/>
          <w:color w:val="000000"/>
          <w:kern w:val="2"/>
          <w:sz w:val="21"/>
          <w:szCs w:val="21"/>
          <w:lang w:val="en-US" w:eastAsia="zh-CN" w:bidi="ar-SA"/>
        </w:rPr>
        <w:t>。</w:t>
      </w:r>
    </w:p>
    <w:p>
      <w:pPr>
        <w:widowControl w:val="0"/>
        <w:tabs>
          <w:tab w:val="left" w:pos="5580"/>
        </w:tabs>
        <w:spacing w:line="360" w:lineRule="auto"/>
        <w:ind w:firstLine="420" w:firstLineChars="20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w:t>
      </w:r>
      <w:r>
        <w:rPr>
          <w:rFonts w:hint="eastAsia" w:ascii="宋体" w:hAnsi="宋体" w:eastAsia="宋体" w:cs="宋体"/>
          <w:kern w:val="2"/>
          <w:sz w:val="21"/>
          <w:szCs w:val="21"/>
          <w:lang w:val="en-US" w:eastAsia="zh-CN" w:bidi="ar-SA"/>
        </w:rPr>
        <w:t>一旦我方成交，我方将严格履行合同约定的责任和义务，</w:t>
      </w:r>
      <w:r>
        <w:rPr>
          <w:rFonts w:hint="eastAsia" w:ascii="宋体" w:hAnsi="宋体" w:eastAsia="宋体" w:cs="Times New Roman"/>
          <w:kern w:val="2"/>
          <w:sz w:val="21"/>
          <w:szCs w:val="21"/>
          <w:lang w:val="en-US" w:eastAsia="zh-CN" w:bidi="ar-SA"/>
        </w:rPr>
        <w:t>保证该项目的服务期为自合同签订之日起</w:t>
      </w:r>
      <w:r>
        <w:rPr>
          <w:rFonts w:hint="eastAsia" w:ascii="宋体" w:hAnsi="宋体" w:eastAsia="宋体" w:cs="Times New Roman"/>
          <w:kern w:val="2"/>
          <w:sz w:val="21"/>
          <w:szCs w:val="21"/>
          <w:u w:val="single"/>
          <w:lang w:val="en-US" w:eastAsia="zh-CN" w:bidi="ar-SA"/>
        </w:rPr>
        <w:t>30日历天内完成等保测评</w:t>
      </w:r>
      <w:r>
        <w:rPr>
          <w:rFonts w:hint="eastAsia" w:ascii="宋体" w:hAnsi="宋体" w:eastAsia="宋体" w:cs="宋体"/>
          <w:kern w:val="2"/>
          <w:sz w:val="21"/>
          <w:szCs w:val="21"/>
          <w:lang w:val="en-US" w:eastAsia="zh-CN" w:bidi="ar-SA"/>
        </w:rPr>
        <w:t>。</w:t>
      </w:r>
    </w:p>
    <w:p>
      <w:pPr>
        <w:widowControl w:val="0"/>
        <w:tabs>
          <w:tab w:val="left" w:pos="5580"/>
        </w:tabs>
        <w:spacing w:line="360" w:lineRule="auto"/>
        <w:ind w:firstLine="394" w:firstLineChars="199"/>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spacing w:val="-6"/>
          <w:kern w:val="2"/>
          <w:sz w:val="21"/>
          <w:szCs w:val="21"/>
          <w:lang w:val="en-US" w:eastAsia="zh-CN" w:bidi="ar-SA"/>
        </w:rPr>
        <w:t>4、我方同意按照竞争性谈判文件的要求，向贵方提交金额为人民币（大写）</w:t>
      </w:r>
      <w:r>
        <w:rPr>
          <w:rFonts w:hint="eastAsia" w:ascii="宋体" w:hAnsi="宋体" w:eastAsia="宋体" w:cs="宋体"/>
          <w:color w:val="000000"/>
          <w:kern w:val="2"/>
          <w:sz w:val="21"/>
          <w:szCs w:val="21"/>
          <w:u w:val="single"/>
          <w:lang w:val="en-US" w:eastAsia="zh-CN" w:bidi="ar-SA"/>
        </w:rPr>
        <w:t xml:space="preserve">      零元            ；　　（小写）　0 　</w:t>
      </w:r>
      <w:r>
        <w:rPr>
          <w:rFonts w:hint="eastAsia" w:ascii="宋体" w:hAnsi="宋体" w:eastAsia="宋体" w:cs="宋体"/>
          <w:color w:val="000000"/>
          <w:kern w:val="2"/>
          <w:sz w:val="21"/>
          <w:szCs w:val="21"/>
          <w:lang w:val="en-US" w:eastAsia="zh-CN" w:bidi="ar-SA"/>
        </w:rPr>
        <w:t>元 的谈判响应保证金，并且承诺遵守竞争性谈判文件中有关谈判响应保证金的约定。</w:t>
      </w:r>
    </w:p>
    <w:p>
      <w:pPr>
        <w:widowControl w:val="0"/>
        <w:tabs>
          <w:tab w:val="left" w:pos="5580"/>
        </w:tabs>
        <w:spacing w:line="360" w:lineRule="auto"/>
        <w:ind w:firstLine="417" w:firstLineChars="199"/>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5、我方保证按照本项目竞争性谈判文件要求提交谈判响应文件。</w:t>
      </w:r>
    </w:p>
    <w:p>
      <w:pPr>
        <w:widowControl w:val="0"/>
        <w:tabs>
          <w:tab w:val="left" w:pos="5580"/>
        </w:tabs>
        <w:spacing w:line="360" w:lineRule="auto"/>
        <w:ind w:firstLine="417" w:firstLineChars="199"/>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6、我方承诺，</w:t>
      </w:r>
      <w:r>
        <w:rPr>
          <w:rFonts w:hint="eastAsia" w:ascii="宋体" w:hAnsi="宋体" w:eastAsia="宋体" w:cs="宋体"/>
          <w:color w:val="000000" w:themeColor="text1"/>
          <w:kern w:val="2"/>
          <w:sz w:val="21"/>
          <w:szCs w:val="21"/>
          <w:lang w:val="en-US" w:eastAsia="zh-CN" w:bidi="ar-SA"/>
          <w14:textFill>
            <w14:solidFill>
              <w14:schemeClr w14:val="tx1"/>
            </w14:solidFill>
          </w14:textFill>
        </w:rPr>
        <w:t>在采用不见面线上谈判时</w:t>
      </w:r>
      <w:r>
        <w:rPr>
          <w:rFonts w:hint="eastAsia" w:ascii="宋体" w:hAnsi="宋体" w:eastAsia="宋体" w:cs="宋体"/>
          <w:color w:val="FF0000"/>
          <w:kern w:val="2"/>
          <w:sz w:val="21"/>
          <w:szCs w:val="21"/>
          <w:lang w:val="en-US" w:eastAsia="zh-CN" w:bidi="ar-SA"/>
        </w:rPr>
        <w:t>，</w:t>
      </w:r>
      <w:r>
        <w:rPr>
          <w:rFonts w:hint="eastAsia" w:ascii="宋体" w:hAnsi="宋体" w:eastAsia="宋体" w:cs="宋体"/>
          <w:color w:val="000000"/>
          <w:kern w:val="2"/>
          <w:sz w:val="21"/>
          <w:szCs w:val="21"/>
          <w:lang w:val="en-US" w:eastAsia="zh-CN" w:bidi="ar-SA"/>
        </w:rPr>
        <w:t>如我方未在规定时间内通过电子交易系统提交最终报价的，以我方的谈判响应函首轮报价作为最终报价。</w:t>
      </w:r>
    </w:p>
    <w:p>
      <w:pPr>
        <w:widowControl w:val="0"/>
        <w:tabs>
          <w:tab w:val="left" w:pos="5580"/>
        </w:tabs>
        <w:spacing w:line="360" w:lineRule="auto"/>
        <w:ind w:firstLine="417" w:firstLineChars="199"/>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7、我方愿意提供贵方可能另外要求的、与谈判响应有关的文件资料，并保证我方已提供和将要提供的文件是真实的、准确的。</w:t>
      </w:r>
    </w:p>
    <w:p>
      <w:pPr>
        <w:widowControl w:val="0"/>
        <w:tabs>
          <w:tab w:val="left" w:pos="5580"/>
        </w:tabs>
        <w:spacing w:line="360" w:lineRule="auto"/>
        <w:ind w:firstLine="417" w:firstLineChars="199"/>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8、我方完全理解贵方不一定将合同授予最低报价的谈判响应人。</w:t>
      </w:r>
    </w:p>
    <w:p>
      <w:pPr>
        <w:widowControl w:val="0"/>
        <w:tabs>
          <w:tab w:val="left" w:pos="5580"/>
        </w:tabs>
        <w:spacing w:line="360" w:lineRule="auto"/>
        <w:ind w:right="360" w:firstLine="3570" w:firstLineChars="1700"/>
        <w:jc w:val="both"/>
        <w:rPr>
          <w:rFonts w:ascii="宋体" w:hAnsi="宋体" w:eastAsia="宋体" w:cs="宋体"/>
          <w:color w:val="000000"/>
          <w:kern w:val="2"/>
          <w:sz w:val="21"/>
          <w:szCs w:val="21"/>
          <w:lang w:val="en-US" w:eastAsia="zh-CN" w:bidi="ar-SA"/>
        </w:rPr>
      </w:pPr>
    </w:p>
    <w:p>
      <w:pPr>
        <w:widowControl w:val="0"/>
        <w:tabs>
          <w:tab w:val="left" w:pos="5580"/>
        </w:tabs>
        <w:spacing w:line="360" w:lineRule="auto"/>
        <w:ind w:right="360" w:firstLine="3570" w:firstLineChars="1700"/>
        <w:jc w:val="both"/>
        <w:rPr>
          <w:rFonts w:ascii="宋体" w:hAnsi="宋体" w:eastAsia="宋体" w:cs="宋体"/>
          <w:color w:val="000000"/>
          <w:kern w:val="2"/>
          <w:sz w:val="21"/>
          <w:szCs w:val="21"/>
          <w:lang w:val="en-US" w:eastAsia="zh-CN" w:bidi="ar-SA"/>
        </w:rPr>
      </w:pPr>
    </w:p>
    <w:p>
      <w:pPr>
        <w:widowControl w:val="0"/>
        <w:tabs>
          <w:tab w:val="left" w:pos="5580"/>
        </w:tabs>
        <w:spacing w:line="360" w:lineRule="auto"/>
        <w:ind w:right="360" w:firstLine="3570" w:firstLineChars="1700"/>
        <w:jc w:val="both"/>
        <w:rPr>
          <w:rFonts w:ascii="宋体" w:hAnsi="宋体" w:eastAsia="宋体" w:cs="宋体"/>
          <w:color w:val="000000"/>
          <w:kern w:val="2"/>
          <w:sz w:val="21"/>
          <w:szCs w:val="21"/>
          <w:u w:val="single"/>
          <w:lang w:val="en-US" w:eastAsia="zh-CN" w:bidi="ar-SA"/>
        </w:rPr>
      </w:pPr>
      <w:r>
        <w:rPr>
          <w:rFonts w:hint="eastAsia" w:ascii="宋体" w:hAnsi="宋体" w:eastAsia="宋体" w:cs="宋体"/>
          <w:color w:val="000000"/>
          <w:kern w:val="2"/>
          <w:sz w:val="21"/>
          <w:szCs w:val="21"/>
          <w:lang w:val="en-US" w:eastAsia="zh-CN" w:bidi="ar-SA"/>
        </w:rPr>
        <w:t>谈判响应人：</w:t>
      </w:r>
      <w:r>
        <w:rPr>
          <w:rFonts w:hint="eastAsia" w:ascii="宋体" w:hAnsi="宋体" w:eastAsia="宋体" w:cs="宋体"/>
          <w:color w:val="000000"/>
          <w:kern w:val="2"/>
          <w:sz w:val="21"/>
          <w:szCs w:val="21"/>
          <w:u w:val="single"/>
          <w:lang w:val="en-US" w:eastAsia="zh-CN" w:bidi="ar-SA"/>
        </w:rPr>
        <w:t xml:space="preserve">                           （盖章） </w:t>
      </w:r>
    </w:p>
    <w:p>
      <w:pPr>
        <w:widowControl w:val="0"/>
        <w:tabs>
          <w:tab w:val="left" w:pos="5580"/>
        </w:tabs>
        <w:spacing w:line="360" w:lineRule="auto"/>
        <w:ind w:firstLine="420" w:firstLineChars="200"/>
        <w:jc w:val="both"/>
        <w:rPr>
          <w:rFonts w:ascii="宋体" w:hAnsi="宋体" w:eastAsia="宋体" w:cs="宋体"/>
          <w:color w:val="000000"/>
          <w:kern w:val="2"/>
          <w:sz w:val="21"/>
          <w:szCs w:val="21"/>
          <w:u w:val="single"/>
          <w:lang w:val="en-US" w:eastAsia="zh-CN" w:bidi="ar-SA"/>
        </w:rPr>
      </w:pPr>
      <w:r>
        <w:rPr>
          <w:rFonts w:hint="eastAsia" w:ascii="宋体" w:hAnsi="宋体" w:eastAsia="宋体" w:cs="宋体"/>
          <w:color w:val="000000"/>
          <w:kern w:val="2"/>
          <w:sz w:val="21"/>
          <w:szCs w:val="21"/>
          <w:lang w:val="en-US" w:eastAsia="zh-CN" w:bidi="ar-SA"/>
        </w:rPr>
        <w:t xml:space="preserve">                              单位地址：</w:t>
      </w:r>
      <w:r>
        <w:rPr>
          <w:rFonts w:hint="eastAsia" w:ascii="宋体" w:hAnsi="宋体" w:eastAsia="宋体" w:cs="宋体"/>
          <w:color w:val="000000"/>
          <w:kern w:val="2"/>
          <w:sz w:val="21"/>
          <w:szCs w:val="21"/>
          <w:u w:val="single"/>
          <w:lang w:val="en-US" w:eastAsia="zh-CN" w:bidi="ar-SA"/>
        </w:rPr>
        <w:tab/>
      </w:r>
      <w:r>
        <w:rPr>
          <w:rFonts w:hint="eastAsia" w:ascii="宋体" w:hAnsi="宋体" w:eastAsia="宋体" w:cs="宋体"/>
          <w:color w:val="000000"/>
          <w:kern w:val="2"/>
          <w:sz w:val="21"/>
          <w:szCs w:val="21"/>
          <w:u w:val="single"/>
          <w:lang w:val="en-US" w:eastAsia="zh-CN" w:bidi="ar-SA"/>
        </w:rPr>
        <w:tab/>
      </w:r>
      <w:r>
        <w:rPr>
          <w:rFonts w:hint="eastAsia" w:ascii="宋体" w:hAnsi="宋体" w:eastAsia="宋体" w:cs="宋体"/>
          <w:color w:val="000000"/>
          <w:kern w:val="2"/>
          <w:sz w:val="21"/>
          <w:szCs w:val="21"/>
          <w:u w:val="single"/>
          <w:lang w:val="en-US" w:eastAsia="zh-CN" w:bidi="ar-SA"/>
        </w:rPr>
        <w:tab/>
      </w:r>
      <w:r>
        <w:rPr>
          <w:rFonts w:hint="eastAsia" w:ascii="宋体" w:hAnsi="宋体" w:eastAsia="宋体" w:cs="宋体"/>
          <w:color w:val="000000"/>
          <w:kern w:val="2"/>
          <w:sz w:val="21"/>
          <w:szCs w:val="21"/>
          <w:u w:val="single"/>
          <w:lang w:val="en-US" w:eastAsia="zh-CN" w:bidi="ar-SA"/>
        </w:rPr>
        <w:tab/>
      </w:r>
      <w:r>
        <w:rPr>
          <w:rFonts w:hint="eastAsia" w:ascii="宋体" w:hAnsi="宋体" w:eastAsia="宋体" w:cs="宋体"/>
          <w:color w:val="000000"/>
          <w:kern w:val="2"/>
          <w:sz w:val="21"/>
          <w:szCs w:val="21"/>
          <w:u w:val="single"/>
          <w:lang w:val="en-US" w:eastAsia="zh-CN" w:bidi="ar-SA"/>
        </w:rPr>
        <w:tab/>
      </w:r>
      <w:r>
        <w:rPr>
          <w:rFonts w:hint="eastAsia" w:ascii="宋体" w:hAnsi="宋体" w:eastAsia="宋体" w:cs="宋体"/>
          <w:color w:val="000000"/>
          <w:kern w:val="2"/>
          <w:sz w:val="21"/>
          <w:szCs w:val="21"/>
          <w:u w:val="single"/>
          <w:lang w:val="en-US" w:eastAsia="zh-CN" w:bidi="ar-SA"/>
        </w:rPr>
        <w:tab/>
      </w:r>
      <w:r>
        <w:rPr>
          <w:rFonts w:hint="eastAsia" w:ascii="宋体" w:hAnsi="宋体" w:eastAsia="宋体" w:cs="宋体"/>
          <w:color w:val="000000"/>
          <w:kern w:val="2"/>
          <w:sz w:val="21"/>
          <w:szCs w:val="21"/>
          <w:u w:val="single"/>
          <w:lang w:val="en-US" w:eastAsia="zh-CN" w:bidi="ar-SA"/>
        </w:rPr>
        <w:t xml:space="preserve">      </w:t>
      </w:r>
    </w:p>
    <w:p>
      <w:pPr>
        <w:widowControl w:val="0"/>
        <w:tabs>
          <w:tab w:val="left" w:pos="5580"/>
        </w:tabs>
        <w:spacing w:line="360" w:lineRule="auto"/>
        <w:ind w:firstLine="420" w:firstLineChars="200"/>
        <w:jc w:val="both"/>
        <w:rPr>
          <w:rFonts w:ascii="宋体" w:hAnsi="宋体" w:eastAsia="宋体" w:cs="宋体"/>
          <w:color w:val="000000"/>
          <w:kern w:val="2"/>
          <w:sz w:val="21"/>
          <w:szCs w:val="21"/>
          <w:u w:val="single"/>
          <w:lang w:val="en-US" w:eastAsia="zh-CN" w:bidi="ar-SA"/>
        </w:rPr>
      </w:pPr>
      <w:r>
        <w:rPr>
          <w:rFonts w:hint="eastAsia" w:ascii="宋体" w:hAnsi="宋体" w:eastAsia="宋体" w:cs="宋体"/>
          <w:color w:val="000000"/>
          <w:kern w:val="2"/>
          <w:sz w:val="21"/>
          <w:szCs w:val="21"/>
          <w:lang w:val="en-US" w:eastAsia="zh-CN" w:bidi="ar-SA"/>
        </w:rPr>
        <w:t xml:space="preserve">                              法定代表人：</w:t>
      </w:r>
      <w:r>
        <w:rPr>
          <w:rFonts w:hint="eastAsia" w:ascii="宋体" w:hAnsi="宋体" w:eastAsia="宋体" w:cs="宋体"/>
          <w:color w:val="000000"/>
          <w:kern w:val="2"/>
          <w:sz w:val="21"/>
          <w:szCs w:val="21"/>
          <w:u w:val="single"/>
          <w:lang w:val="en-US" w:eastAsia="zh-CN" w:bidi="ar-SA"/>
        </w:rPr>
        <w:t xml:space="preserve">                        （盖章）</w:t>
      </w:r>
    </w:p>
    <w:p>
      <w:pPr>
        <w:widowControl w:val="0"/>
        <w:tabs>
          <w:tab w:val="left" w:pos="5580"/>
        </w:tabs>
        <w:spacing w:line="360" w:lineRule="auto"/>
        <w:ind w:firstLine="420" w:firstLineChars="200"/>
        <w:jc w:val="both"/>
        <w:rPr>
          <w:rFonts w:ascii="宋体" w:hAnsi="宋体" w:eastAsia="宋体" w:cs="宋体"/>
          <w:color w:val="000000"/>
          <w:kern w:val="2"/>
          <w:sz w:val="21"/>
          <w:szCs w:val="21"/>
          <w:u w:val="single"/>
          <w:lang w:val="en-US" w:eastAsia="zh-CN" w:bidi="ar-SA"/>
        </w:rPr>
      </w:pPr>
    </w:p>
    <w:p>
      <w:pPr>
        <w:widowControl w:val="0"/>
        <w:tabs>
          <w:tab w:val="left" w:pos="5580"/>
        </w:tabs>
        <w:spacing w:line="360" w:lineRule="auto"/>
        <w:ind w:firstLine="3570" w:firstLineChars="170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日期：          年      月      日</w:t>
      </w:r>
    </w:p>
    <w:p>
      <w:pPr>
        <w:spacing w:line="360" w:lineRule="auto"/>
        <w:ind w:firstLine="480" w:firstLineChars="200"/>
        <w:jc w:val="center"/>
        <w:rPr>
          <w:rFonts w:ascii="宋体" w:hAnsi="宋体" w:cs="宋体"/>
          <w:color w:val="000000"/>
          <w:sz w:val="24"/>
        </w:rPr>
      </w:pPr>
    </w:p>
    <w:p>
      <w:pPr>
        <w:spacing w:line="360" w:lineRule="auto"/>
        <w:ind w:firstLine="480" w:firstLineChars="200"/>
        <w:jc w:val="center"/>
        <w:rPr>
          <w:rFonts w:ascii="宋体" w:hAnsi="宋体" w:cs="宋体"/>
          <w:color w:val="000000"/>
          <w:sz w:val="24"/>
        </w:rPr>
      </w:pPr>
    </w:p>
    <w:p>
      <w:pPr>
        <w:spacing w:line="360" w:lineRule="auto"/>
        <w:ind w:firstLine="480" w:firstLineChars="200"/>
        <w:jc w:val="center"/>
        <w:rPr>
          <w:rFonts w:ascii="宋体" w:hAnsi="宋体" w:cs="宋体"/>
          <w:color w:val="000000"/>
          <w:sz w:val="24"/>
        </w:rPr>
      </w:pPr>
    </w:p>
    <w:p>
      <w:pPr>
        <w:spacing w:line="360" w:lineRule="auto"/>
        <w:rPr>
          <w:rFonts w:ascii="宋体" w:hAnsi="宋体" w:cs="宋体"/>
          <w:sz w:val="24"/>
        </w:rPr>
      </w:pPr>
    </w:p>
    <w:p>
      <w:pPr>
        <w:pStyle w:val="6"/>
        <w:jc w:val="center"/>
        <w:rPr>
          <w:rFonts w:ascii="宋体" w:hAnsi="宋体" w:eastAsia="宋体" w:cs="宋体"/>
        </w:rPr>
      </w:pPr>
      <w:bookmarkStart w:id="114" w:name="_Toc54939202"/>
      <w:bookmarkStart w:id="115" w:name="_Toc7098"/>
      <w:bookmarkStart w:id="116" w:name="_Toc12161"/>
      <w:r>
        <w:rPr>
          <w:rFonts w:hint="eastAsia" w:hAnsi="宋体" w:cs="宋体"/>
        </w:rPr>
        <w:t>二、</w:t>
      </w:r>
      <w:bookmarkEnd w:id="114"/>
      <w:bookmarkEnd w:id="115"/>
      <w:bookmarkEnd w:id="116"/>
      <w:r>
        <w:rPr>
          <w:rFonts w:hint="eastAsia" w:ascii="宋体" w:hAnsi="宋体" w:eastAsia="宋体" w:cs="宋体"/>
        </w:rPr>
        <w:t>服务报价表(首轮)</w:t>
      </w:r>
    </w:p>
    <w:p>
      <w:pPr>
        <w:spacing w:line="360" w:lineRule="auto"/>
        <w:rPr>
          <w:rFonts w:ascii="宋体" w:hAnsi="宋体" w:eastAsia="宋体" w:cs="宋体"/>
          <w:szCs w:val="21"/>
        </w:rPr>
      </w:pPr>
      <w:r>
        <w:rPr>
          <w:rFonts w:hint="eastAsia" w:ascii="宋体" w:hAnsi="宋体" w:eastAsia="宋体" w:cs="宋体"/>
          <w:szCs w:val="21"/>
        </w:rPr>
        <w:t xml:space="preserve">项目名称： </w:t>
      </w:r>
    </w:p>
    <w:p>
      <w:pPr>
        <w:spacing w:line="360" w:lineRule="auto"/>
        <w:rPr>
          <w:rFonts w:ascii="宋体" w:hAnsi="宋体" w:eastAsia="宋体" w:cs="宋体"/>
          <w:szCs w:val="21"/>
        </w:rPr>
      </w:pPr>
      <w:r>
        <w:rPr>
          <w:rFonts w:hint="eastAsia" w:ascii="宋体" w:hAnsi="宋体" w:eastAsia="宋体" w:cs="宋体"/>
          <w:szCs w:val="21"/>
        </w:rPr>
        <w:t xml:space="preserve">项目编号：                                                           </w:t>
      </w:r>
    </w:p>
    <w:tbl>
      <w:tblPr>
        <w:tblStyle w:val="23"/>
        <w:tblW w:w="8941" w:type="dxa"/>
        <w:jc w:val="center"/>
        <w:tblLayout w:type="fixed"/>
        <w:tblCellMar>
          <w:top w:w="0" w:type="dxa"/>
          <w:left w:w="108" w:type="dxa"/>
          <w:bottom w:w="0" w:type="dxa"/>
          <w:right w:w="108" w:type="dxa"/>
        </w:tblCellMar>
      </w:tblPr>
      <w:tblGrid>
        <w:gridCol w:w="836"/>
        <w:gridCol w:w="3335"/>
        <w:gridCol w:w="917"/>
        <w:gridCol w:w="657"/>
        <w:gridCol w:w="1610"/>
        <w:gridCol w:w="1586"/>
      </w:tblGrid>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ascii="宋体" w:hAnsi="宋体" w:eastAsia="宋体" w:cs="宋体"/>
              </w:rPr>
            </w:pPr>
            <w:r>
              <w:rPr>
                <w:rFonts w:hint="eastAsia" w:ascii="宋体" w:hAnsi="宋体" w:eastAsia="宋体" w:cs="宋体"/>
              </w:rPr>
              <w:t>序号</w:t>
            </w:r>
          </w:p>
        </w:tc>
        <w:tc>
          <w:tcPr>
            <w:tcW w:w="3335" w:type="dxa"/>
            <w:tcBorders>
              <w:top w:val="single" w:color="auto" w:sz="4" w:space="0"/>
              <w:left w:val="single" w:color="auto" w:sz="4" w:space="0"/>
              <w:bottom w:val="nil"/>
              <w:right w:val="nil"/>
            </w:tcBorders>
            <w:shd w:val="clear" w:color="auto" w:fill="FFFFFF"/>
            <w:vAlign w:val="center"/>
          </w:tcPr>
          <w:p>
            <w:pPr>
              <w:jc w:val="center"/>
              <w:rPr>
                <w:rFonts w:ascii="宋体" w:hAnsi="宋体" w:eastAsia="宋体" w:cs="宋体"/>
              </w:rPr>
            </w:pPr>
            <w:r>
              <w:rPr>
                <w:rFonts w:hint="eastAsia" w:ascii="宋体" w:hAnsi="宋体" w:eastAsia="宋体" w:cs="宋体"/>
              </w:rPr>
              <w:t>服务项目名称</w:t>
            </w:r>
          </w:p>
        </w:tc>
        <w:tc>
          <w:tcPr>
            <w:tcW w:w="917" w:type="dxa"/>
            <w:tcBorders>
              <w:top w:val="single" w:color="auto" w:sz="4" w:space="0"/>
              <w:left w:val="single" w:color="auto" w:sz="4" w:space="0"/>
              <w:bottom w:val="nil"/>
              <w:right w:val="nil"/>
            </w:tcBorders>
            <w:shd w:val="clear" w:color="auto" w:fill="FFFFFF"/>
            <w:vAlign w:val="center"/>
          </w:tcPr>
          <w:p>
            <w:pPr>
              <w:jc w:val="center"/>
              <w:rPr>
                <w:rFonts w:ascii="宋体" w:hAnsi="宋体" w:eastAsia="宋体" w:cs="宋体"/>
              </w:rPr>
            </w:pPr>
            <w:r>
              <w:rPr>
                <w:rFonts w:hint="eastAsia" w:ascii="宋体" w:hAnsi="宋体" w:eastAsia="宋体" w:cs="宋体"/>
              </w:rPr>
              <w:t>单位</w:t>
            </w:r>
          </w:p>
        </w:tc>
        <w:tc>
          <w:tcPr>
            <w:tcW w:w="657" w:type="dxa"/>
            <w:tcBorders>
              <w:top w:val="single" w:color="auto" w:sz="4" w:space="0"/>
              <w:left w:val="single" w:color="auto" w:sz="4" w:space="0"/>
              <w:bottom w:val="nil"/>
              <w:right w:val="nil"/>
            </w:tcBorders>
            <w:shd w:val="clear" w:color="auto" w:fill="FFFFFF"/>
            <w:vAlign w:val="center"/>
          </w:tcPr>
          <w:p>
            <w:pPr>
              <w:jc w:val="center"/>
              <w:rPr>
                <w:rFonts w:ascii="宋体" w:hAnsi="宋体" w:eastAsia="宋体" w:cs="宋体"/>
              </w:rPr>
            </w:pPr>
            <w:r>
              <w:rPr>
                <w:rFonts w:hint="eastAsia" w:ascii="宋体" w:hAnsi="宋体" w:eastAsia="宋体" w:cs="宋体"/>
              </w:rPr>
              <w:t>数量</w:t>
            </w:r>
          </w:p>
        </w:tc>
        <w:tc>
          <w:tcPr>
            <w:tcW w:w="1610" w:type="dxa"/>
            <w:tcBorders>
              <w:top w:val="single" w:color="auto" w:sz="4" w:space="0"/>
              <w:left w:val="single" w:color="auto" w:sz="4" w:space="0"/>
              <w:bottom w:val="nil"/>
              <w:right w:val="single" w:color="auto" w:sz="4" w:space="0"/>
            </w:tcBorders>
            <w:shd w:val="clear" w:color="auto" w:fill="FFFFFF"/>
            <w:vAlign w:val="center"/>
          </w:tcPr>
          <w:p>
            <w:pPr>
              <w:jc w:val="center"/>
              <w:rPr>
                <w:rFonts w:ascii="宋体" w:hAnsi="宋体" w:eastAsia="宋体" w:cs="宋体"/>
              </w:rPr>
            </w:pPr>
            <w:r>
              <w:rPr>
                <w:rFonts w:hint="eastAsia" w:ascii="宋体" w:hAnsi="宋体" w:eastAsia="宋体" w:cs="宋体"/>
              </w:rPr>
              <w:t>单价（元）</w:t>
            </w:r>
          </w:p>
        </w:tc>
        <w:tc>
          <w:tcPr>
            <w:tcW w:w="1586" w:type="dxa"/>
            <w:tcBorders>
              <w:top w:val="single" w:color="auto" w:sz="4" w:space="0"/>
              <w:left w:val="single" w:color="auto" w:sz="4" w:space="0"/>
              <w:bottom w:val="nil"/>
              <w:right w:val="single" w:color="auto" w:sz="4" w:space="0"/>
            </w:tcBorders>
            <w:shd w:val="clear" w:color="auto" w:fill="FFFFFF"/>
            <w:vAlign w:val="center"/>
          </w:tcPr>
          <w:p>
            <w:pPr>
              <w:jc w:val="center"/>
              <w:rPr>
                <w:rFonts w:ascii="宋体" w:hAnsi="宋体" w:eastAsia="宋体" w:cs="宋体"/>
              </w:rPr>
            </w:pPr>
            <w:r>
              <w:rPr>
                <w:rFonts w:hint="eastAsia" w:ascii="宋体" w:hAnsi="宋体" w:eastAsia="宋体" w:cs="宋体"/>
              </w:rPr>
              <w:t>合价（元）</w:t>
            </w:r>
          </w:p>
        </w:tc>
      </w:tr>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ascii="宋体" w:hAnsi="宋体" w:eastAsia="宋体" w:cs="宋体"/>
              </w:rPr>
            </w:pPr>
          </w:p>
        </w:tc>
        <w:tc>
          <w:tcPr>
            <w:tcW w:w="3335" w:type="dxa"/>
            <w:tcBorders>
              <w:top w:val="single" w:color="auto" w:sz="4" w:space="0"/>
              <w:left w:val="single" w:color="auto" w:sz="4" w:space="0"/>
              <w:bottom w:val="nil"/>
              <w:right w:val="nil"/>
            </w:tcBorders>
            <w:shd w:val="clear" w:color="auto" w:fill="FFFFFF"/>
          </w:tcPr>
          <w:p>
            <w:pPr>
              <w:rPr>
                <w:rFonts w:ascii="宋体" w:hAnsi="宋体" w:eastAsia="宋体" w:cs="宋体"/>
              </w:rPr>
            </w:pPr>
          </w:p>
        </w:tc>
        <w:tc>
          <w:tcPr>
            <w:tcW w:w="917" w:type="dxa"/>
            <w:tcBorders>
              <w:top w:val="single" w:color="auto" w:sz="4" w:space="0"/>
              <w:left w:val="single" w:color="auto" w:sz="4" w:space="0"/>
              <w:bottom w:val="nil"/>
              <w:right w:val="nil"/>
            </w:tcBorders>
            <w:shd w:val="clear" w:color="auto" w:fill="FFFFFF"/>
          </w:tcPr>
          <w:p>
            <w:pPr>
              <w:rPr>
                <w:rFonts w:ascii="宋体" w:hAnsi="宋体" w:eastAsia="宋体" w:cs="宋体"/>
              </w:rPr>
            </w:pPr>
          </w:p>
        </w:tc>
        <w:tc>
          <w:tcPr>
            <w:tcW w:w="657" w:type="dxa"/>
            <w:tcBorders>
              <w:top w:val="single" w:color="auto" w:sz="4" w:space="0"/>
              <w:left w:val="single" w:color="auto" w:sz="4" w:space="0"/>
              <w:bottom w:val="nil"/>
              <w:right w:val="nil"/>
            </w:tcBorders>
            <w:shd w:val="clear" w:color="auto" w:fill="FFFFFF"/>
          </w:tcPr>
          <w:p>
            <w:pPr>
              <w:rPr>
                <w:rFonts w:ascii="宋体" w:hAnsi="宋体" w:eastAsia="宋体" w:cs="宋体"/>
              </w:rPr>
            </w:pPr>
          </w:p>
        </w:tc>
        <w:tc>
          <w:tcPr>
            <w:tcW w:w="1610" w:type="dxa"/>
            <w:tcBorders>
              <w:top w:val="single" w:color="auto" w:sz="4" w:space="0"/>
              <w:left w:val="single" w:color="auto" w:sz="4" w:space="0"/>
              <w:bottom w:val="nil"/>
              <w:right w:val="single" w:color="auto" w:sz="4" w:space="0"/>
            </w:tcBorders>
            <w:shd w:val="clear" w:color="auto" w:fill="FFFFFF"/>
          </w:tcPr>
          <w:p>
            <w:pPr>
              <w:rPr>
                <w:rFonts w:ascii="宋体" w:hAnsi="宋体" w:eastAsia="宋体" w:cs="宋体"/>
              </w:rPr>
            </w:pPr>
          </w:p>
        </w:tc>
        <w:tc>
          <w:tcPr>
            <w:tcW w:w="1586" w:type="dxa"/>
            <w:tcBorders>
              <w:top w:val="single" w:color="auto" w:sz="4" w:space="0"/>
              <w:left w:val="single" w:color="auto" w:sz="4" w:space="0"/>
              <w:bottom w:val="nil"/>
              <w:right w:val="single" w:color="auto" w:sz="4" w:space="0"/>
            </w:tcBorders>
            <w:shd w:val="clear" w:color="auto" w:fill="FFFFFF"/>
          </w:tcPr>
          <w:p>
            <w:pPr>
              <w:rPr>
                <w:rFonts w:ascii="宋体" w:hAnsi="宋体" w:eastAsia="宋体" w:cs="宋体"/>
              </w:rPr>
            </w:pPr>
          </w:p>
        </w:tc>
      </w:tr>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ascii="宋体" w:hAnsi="宋体" w:eastAsia="宋体" w:cs="宋体"/>
              </w:rPr>
            </w:pPr>
          </w:p>
        </w:tc>
        <w:tc>
          <w:tcPr>
            <w:tcW w:w="3335" w:type="dxa"/>
            <w:tcBorders>
              <w:top w:val="single" w:color="auto" w:sz="4" w:space="0"/>
              <w:left w:val="single" w:color="auto" w:sz="4" w:space="0"/>
              <w:bottom w:val="nil"/>
              <w:right w:val="nil"/>
            </w:tcBorders>
            <w:shd w:val="clear" w:color="auto" w:fill="FFFFFF"/>
          </w:tcPr>
          <w:p>
            <w:pPr>
              <w:rPr>
                <w:rFonts w:ascii="宋体" w:hAnsi="宋体" w:eastAsia="宋体" w:cs="宋体"/>
              </w:rPr>
            </w:pPr>
          </w:p>
        </w:tc>
        <w:tc>
          <w:tcPr>
            <w:tcW w:w="917" w:type="dxa"/>
            <w:tcBorders>
              <w:top w:val="single" w:color="auto" w:sz="4" w:space="0"/>
              <w:left w:val="single" w:color="auto" w:sz="4" w:space="0"/>
              <w:bottom w:val="nil"/>
              <w:right w:val="nil"/>
            </w:tcBorders>
            <w:shd w:val="clear" w:color="auto" w:fill="FFFFFF"/>
          </w:tcPr>
          <w:p>
            <w:pPr>
              <w:rPr>
                <w:rFonts w:ascii="宋体" w:hAnsi="宋体" w:eastAsia="宋体" w:cs="宋体"/>
              </w:rPr>
            </w:pPr>
          </w:p>
        </w:tc>
        <w:tc>
          <w:tcPr>
            <w:tcW w:w="657" w:type="dxa"/>
            <w:tcBorders>
              <w:top w:val="single" w:color="auto" w:sz="4" w:space="0"/>
              <w:left w:val="single" w:color="auto" w:sz="4" w:space="0"/>
              <w:bottom w:val="nil"/>
              <w:right w:val="nil"/>
            </w:tcBorders>
            <w:shd w:val="clear" w:color="auto" w:fill="FFFFFF"/>
          </w:tcPr>
          <w:p>
            <w:pPr>
              <w:rPr>
                <w:rFonts w:ascii="宋体" w:hAnsi="宋体" w:eastAsia="宋体" w:cs="宋体"/>
              </w:rPr>
            </w:pPr>
          </w:p>
        </w:tc>
        <w:tc>
          <w:tcPr>
            <w:tcW w:w="1610" w:type="dxa"/>
            <w:tcBorders>
              <w:top w:val="single" w:color="auto" w:sz="4" w:space="0"/>
              <w:left w:val="single" w:color="auto" w:sz="4" w:space="0"/>
              <w:bottom w:val="nil"/>
              <w:right w:val="single" w:color="auto" w:sz="4" w:space="0"/>
            </w:tcBorders>
            <w:shd w:val="clear" w:color="auto" w:fill="FFFFFF"/>
          </w:tcPr>
          <w:p>
            <w:pPr>
              <w:rPr>
                <w:rFonts w:ascii="宋体" w:hAnsi="宋体" w:eastAsia="宋体" w:cs="宋体"/>
              </w:rPr>
            </w:pPr>
          </w:p>
        </w:tc>
        <w:tc>
          <w:tcPr>
            <w:tcW w:w="1586" w:type="dxa"/>
            <w:tcBorders>
              <w:top w:val="single" w:color="auto" w:sz="4" w:space="0"/>
              <w:left w:val="single" w:color="auto" w:sz="4" w:space="0"/>
              <w:bottom w:val="nil"/>
              <w:right w:val="single" w:color="auto" w:sz="4" w:space="0"/>
            </w:tcBorders>
            <w:shd w:val="clear" w:color="auto" w:fill="FFFFFF"/>
          </w:tcPr>
          <w:p>
            <w:pPr>
              <w:rPr>
                <w:rFonts w:ascii="宋体" w:hAnsi="宋体" w:eastAsia="宋体" w:cs="宋体"/>
              </w:rPr>
            </w:pPr>
          </w:p>
        </w:tc>
      </w:tr>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ascii="宋体" w:hAnsi="宋体" w:eastAsia="宋体" w:cs="宋体"/>
              </w:rPr>
            </w:pPr>
          </w:p>
        </w:tc>
        <w:tc>
          <w:tcPr>
            <w:tcW w:w="3335" w:type="dxa"/>
            <w:tcBorders>
              <w:top w:val="single" w:color="auto" w:sz="4" w:space="0"/>
              <w:left w:val="single" w:color="auto" w:sz="4" w:space="0"/>
              <w:bottom w:val="nil"/>
              <w:right w:val="nil"/>
            </w:tcBorders>
            <w:shd w:val="clear" w:color="auto" w:fill="FFFFFF"/>
          </w:tcPr>
          <w:p>
            <w:pPr>
              <w:rPr>
                <w:rFonts w:ascii="宋体" w:hAnsi="宋体" w:eastAsia="宋体" w:cs="宋体"/>
              </w:rPr>
            </w:pPr>
          </w:p>
        </w:tc>
        <w:tc>
          <w:tcPr>
            <w:tcW w:w="917" w:type="dxa"/>
            <w:tcBorders>
              <w:top w:val="single" w:color="auto" w:sz="4" w:space="0"/>
              <w:left w:val="single" w:color="auto" w:sz="4" w:space="0"/>
              <w:bottom w:val="nil"/>
              <w:right w:val="nil"/>
            </w:tcBorders>
            <w:shd w:val="clear" w:color="auto" w:fill="FFFFFF"/>
          </w:tcPr>
          <w:p>
            <w:pPr>
              <w:rPr>
                <w:rFonts w:ascii="宋体" w:hAnsi="宋体" w:eastAsia="宋体" w:cs="宋体"/>
              </w:rPr>
            </w:pPr>
          </w:p>
        </w:tc>
        <w:tc>
          <w:tcPr>
            <w:tcW w:w="657" w:type="dxa"/>
            <w:tcBorders>
              <w:top w:val="single" w:color="auto" w:sz="4" w:space="0"/>
              <w:left w:val="single" w:color="auto" w:sz="4" w:space="0"/>
              <w:bottom w:val="nil"/>
              <w:right w:val="nil"/>
            </w:tcBorders>
            <w:shd w:val="clear" w:color="auto" w:fill="FFFFFF"/>
          </w:tcPr>
          <w:p>
            <w:pPr>
              <w:rPr>
                <w:rFonts w:ascii="宋体" w:hAnsi="宋体" w:eastAsia="宋体" w:cs="宋体"/>
              </w:rPr>
            </w:pPr>
          </w:p>
        </w:tc>
        <w:tc>
          <w:tcPr>
            <w:tcW w:w="1610" w:type="dxa"/>
            <w:tcBorders>
              <w:top w:val="single" w:color="auto" w:sz="4" w:space="0"/>
              <w:left w:val="single" w:color="auto" w:sz="4" w:space="0"/>
              <w:bottom w:val="nil"/>
              <w:right w:val="single" w:color="auto" w:sz="4" w:space="0"/>
            </w:tcBorders>
            <w:shd w:val="clear" w:color="auto" w:fill="FFFFFF"/>
          </w:tcPr>
          <w:p>
            <w:pPr>
              <w:rPr>
                <w:rFonts w:ascii="宋体" w:hAnsi="宋体" w:eastAsia="宋体" w:cs="宋体"/>
              </w:rPr>
            </w:pPr>
          </w:p>
        </w:tc>
        <w:tc>
          <w:tcPr>
            <w:tcW w:w="1586" w:type="dxa"/>
            <w:tcBorders>
              <w:top w:val="single" w:color="auto" w:sz="4" w:space="0"/>
              <w:left w:val="single" w:color="auto" w:sz="4" w:space="0"/>
              <w:bottom w:val="nil"/>
              <w:right w:val="single" w:color="auto" w:sz="4" w:space="0"/>
            </w:tcBorders>
            <w:shd w:val="clear" w:color="auto" w:fill="FFFFFF"/>
          </w:tcPr>
          <w:p>
            <w:pPr>
              <w:rPr>
                <w:rFonts w:ascii="宋体" w:hAnsi="宋体" w:eastAsia="宋体" w:cs="宋体"/>
              </w:rPr>
            </w:pPr>
          </w:p>
        </w:tc>
      </w:tr>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ascii="宋体" w:hAnsi="宋体" w:eastAsia="宋体" w:cs="宋体"/>
              </w:rPr>
            </w:pPr>
          </w:p>
        </w:tc>
        <w:tc>
          <w:tcPr>
            <w:tcW w:w="3335" w:type="dxa"/>
            <w:tcBorders>
              <w:top w:val="single" w:color="auto" w:sz="4" w:space="0"/>
              <w:left w:val="single" w:color="auto" w:sz="4" w:space="0"/>
              <w:bottom w:val="nil"/>
              <w:right w:val="nil"/>
            </w:tcBorders>
            <w:shd w:val="clear" w:color="auto" w:fill="FFFFFF"/>
          </w:tcPr>
          <w:p>
            <w:pPr>
              <w:rPr>
                <w:rFonts w:ascii="宋体" w:hAnsi="宋体" w:eastAsia="宋体" w:cs="宋体"/>
              </w:rPr>
            </w:pPr>
          </w:p>
        </w:tc>
        <w:tc>
          <w:tcPr>
            <w:tcW w:w="917" w:type="dxa"/>
            <w:tcBorders>
              <w:top w:val="single" w:color="auto" w:sz="4" w:space="0"/>
              <w:left w:val="single" w:color="auto" w:sz="4" w:space="0"/>
              <w:bottom w:val="nil"/>
              <w:right w:val="nil"/>
            </w:tcBorders>
            <w:shd w:val="clear" w:color="auto" w:fill="FFFFFF"/>
          </w:tcPr>
          <w:p>
            <w:pPr>
              <w:rPr>
                <w:rFonts w:ascii="宋体" w:hAnsi="宋体" w:eastAsia="宋体" w:cs="宋体"/>
              </w:rPr>
            </w:pPr>
          </w:p>
        </w:tc>
        <w:tc>
          <w:tcPr>
            <w:tcW w:w="657" w:type="dxa"/>
            <w:tcBorders>
              <w:top w:val="single" w:color="auto" w:sz="4" w:space="0"/>
              <w:left w:val="single" w:color="auto" w:sz="4" w:space="0"/>
              <w:bottom w:val="nil"/>
              <w:right w:val="nil"/>
            </w:tcBorders>
            <w:shd w:val="clear" w:color="auto" w:fill="FFFFFF"/>
          </w:tcPr>
          <w:p>
            <w:pPr>
              <w:rPr>
                <w:rFonts w:ascii="宋体" w:hAnsi="宋体" w:eastAsia="宋体" w:cs="宋体"/>
              </w:rPr>
            </w:pPr>
          </w:p>
        </w:tc>
        <w:tc>
          <w:tcPr>
            <w:tcW w:w="1610" w:type="dxa"/>
            <w:tcBorders>
              <w:top w:val="single" w:color="auto" w:sz="4" w:space="0"/>
              <w:left w:val="single" w:color="auto" w:sz="4" w:space="0"/>
              <w:bottom w:val="nil"/>
              <w:right w:val="single" w:color="auto" w:sz="4" w:space="0"/>
            </w:tcBorders>
            <w:shd w:val="clear" w:color="auto" w:fill="FFFFFF"/>
          </w:tcPr>
          <w:p>
            <w:pPr>
              <w:rPr>
                <w:rFonts w:ascii="宋体" w:hAnsi="宋体" w:eastAsia="宋体" w:cs="宋体"/>
              </w:rPr>
            </w:pPr>
          </w:p>
        </w:tc>
        <w:tc>
          <w:tcPr>
            <w:tcW w:w="1586" w:type="dxa"/>
            <w:tcBorders>
              <w:top w:val="single" w:color="auto" w:sz="4" w:space="0"/>
              <w:left w:val="single" w:color="auto" w:sz="4" w:space="0"/>
              <w:bottom w:val="nil"/>
              <w:right w:val="single" w:color="auto" w:sz="4" w:space="0"/>
            </w:tcBorders>
            <w:shd w:val="clear" w:color="auto" w:fill="FFFFFF"/>
          </w:tcPr>
          <w:p>
            <w:pPr>
              <w:rPr>
                <w:rFonts w:ascii="宋体" w:hAnsi="宋体" w:eastAsia="宋体" w:cs="宋体"/>
              </w:rPr>
            </w:pPr>
          </w:p>
        </w:tc>
      </w:tr>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ascii="宋体" w:hAnsi="宋体" w:eastAsia="宋体" w:cs="宋体"/>
              </w:rPr>
            </w:pPr>
          </w:p>
        </w:tc>
        <w:tc>
          <w:tcPr>
            <w:tcW w:w="3335" w:type="dxa"/>
            <w:tcBorders>
              <w:top w:val="single" w:color="auto" w:sz="4" w:space="0"/>
              <w:left w:val="single" w:color="auto" w:sz="4" w:space="0"/>
              <w:bottom w:val="nil"/>
              <w:right w:val="nil"/>
            </w:tcBorders>
            <w:shd w:val="clear" w:color="auto" w:fill="FFFFFF"/>
          </w:tcPr>
          <w:p>
            <w:pPr>
              <w:rPr>
                <w:rFonts w:ascii="宋体" w:hAnsi="宋体" w:eastAsia="宋体" w:cs="宋体"/>
              </w:rPr>
            </w:pPr>
          </w:p>
        </w:tc>
        <w:tc>
          <w:tcPr>
            <w:tcW w:w="917" w:type="dxa"/>
            <w:tcBorders>
              <w:top w:val="single" w:color="auto" w:sz="4" w:space="0"/>
              <w:left w:val="single" w:color="auto" w:sz="4" w:space="0"/>
              <w:bottom w:val="nil"/>
              <w:right w:val="nil"/>
            </w:tcBorders>
            <w:shd w:val="clear" w:color="auto" w:fill="FFFFFF"/>
          </w:tcPr>
          <w:p>
            <w:pPr>
              <w:rPr>
                <w:rFonts w:ascii="宋体" w:hAnsi="宋体" w:eastAsia="宋体" w:cs="宋体"/>
              </w:rPr>
            </w:pPr>
          </w:p>
        </w:tc>
        <w:tc>
          <w:tcPr>
            <w:tcW w:w="657" w:type="dxa"/>
            <w:tcBorders>
              <w:top w:val="single" w:color="auto" w:sz="4" w:space="0"/>
              <w:left w:val="single" w:color="auto" w:sz="4" w:space="0"/>
              <w:bottom w:val="nil"/>
              <w:right w:val="nil"/>
            </w:tcBorders>
            <w:shd w:val="clear" w:color="auto" w:fill="FFFFFF"/>
          </w:tcPr>
          <w:p>
            <w:pPr>
              <w:rPr>
                <w:rFonts w:ascii="宋体" w:hAnsi="宋体" w:eastAsia="宋体" w:cs="宋体"/>
              </w:rPr>
            </w:pPr>
          </w:p>
        </w:tc>
        <w:tc>
          <w:tcPr>
            <w:tcW w:w="1610" w:type="dxa"/>
            <w:tcBorders>
              <w:top w:val="single" w:color="auto" w:sz="4" w:space="0"/>
              <w:left w:val="single" w:color="auto" w:sz="4" w:space="0"/>
              <w:bottom w:val="nil"/>
              <w:right w:val="single" w:color="auto" w:sz="4" w:space="0"/>
            </w:tcBorders>
            <w:shd w:val="clear" w:color="auto" w:fill="FFFFFF"/>
          </w:tcPr>
          <w:p>
            <w:pPr>
              <w:rPr>
                <w:rFonts w:ascii="宋体" w:hAnsi="宋体" w:eastAsia="宋体" w:cs="宋体"/>
              </w:rPr>
            </w:pPr>
          </w:p>
        </w:tc>
        <w:tc>
          <w:tcPr>
            <w:tcW w:w="1586" w:type="dxa"/>
            <w:tcBorders>
              <w:top w:val="single" w:color="auto" w:sz="4" w:space="0"/>
              <w:left w:val="single" w:color="auto" w:sz="4" w:space="0"/>
              <w:bottom w:val="nil"/>
              <w:right w:val="single" w:color="auto" w:sz="4" w:space="0"/>
            </w:tcBorders>
            <w:shd w:val="clear" w:color="auto" w:fill="FFFFFF"/>
          </w:tcPr>
          <w:p>
            <w:pPr>
              <w:rPr>
                <w:rFonts w:ascii="宋体" w:hAnsi="宋体" w:eastAsia="宋体" w:cs="宋体"/>
              </w:rPr>
            </w:pPr>
          </w:p>
        </w:tc>
      </w:tr>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ascii="宋体" w:hAnsi="宋体" w:eastAsia="宋体" w:cs="宋体"/>
              </w:rPr>
            </w:pPr>
          </w:p>
        </w:tc>
        <w:tc>
          <w:tcPr>
            <w:tcW w:w="3335" w:type="dxa"/>
            <w:tcBorders>
              <w:top w:val="single" w:color="auto" w:sz="4" w:space="0"/>
              <w:left w:val="single" w:color="auto" w:sz="4" w:space="0"/>
              <w:bottom w:val="nil"/>
              <w:right w:val="nil"/>
            </w:tcBorders>
            <w:shd w:val="clear" w:color="auto" w:fill="FFFFFF"/>
          </w:tcPr>
          <w:p>
            <w:pPr>
              <w:rPr>
                <w:rFonts w:ascii="宋体" w:hAnsi="宋体" w:eastAsia="宋体" w:cs="宋体"/>
              </w:rPr>
            </w:pPr>
          </w:p>
        </w:tc>
        <w:tc>
          <w:tcPr>
            <w:tcW w:w="917" w:type="dxa"/>
            <w:tcBorders>
              <w:top w:val="single" w:color="auto" w:sz="4" w:space="0"/>
              <w:left w:val="single" w:color="auto" w:sz="4" w:space="0"/>
              <w:bottom w:val="nil"/>
              <w:right w:val="nil"/>
            </w:tcBorders>
            <w:shd w:val="clear" w:color="auto" w:fill="FFFFFF"/>
          </w:tcPr>
          <w:p>
            <w:pPr>
              <w:rPr>
                <w:rFonts w:ascii="宋体" w:hAnsi="宋体" w:eastAsia="宋体" w:cs="宋体"/>
              </w:rPr>
            </w:pPr>
          </w:p>
        </w:tc>
        <w:tc>
          <w:tcPr>
            <w:tcW w:w="657" w:type="dxa"/>
            <w:tcBorders>
              <w:top w:val="single" w:color="auto" w:sz="4" w:space="0"/>
              <w:left w:val="single" w:color="auto" w:sz="4" w:space="0"/>
              <w:bottom w:val="nil"/>
              <w:right w:val="nil"/>
            </w:tcBorders>
            <w:shd w:val="clear" w:color="auto" w:fill="FFFFFF"/>
          </w:tcPr>
          <w:p>
            <w:pPr>
              <w:rPr>
                <w:rFonts w:ascii="宋体" w:hAnsi="宋体" w:eastAsia="宋体" w:cs="宋体"/>
              </w:rPr>
            </w:pPr>
          </w:p>
        </w:tc>
        <w:tc>
          <w:tcPr>
            <w:tcW w:w="1610" w:type="dxa"/>
            <w:tcBorders>
              <w:top w:val="single" w:color="auto" w:sz="4" w:space="0"/>
              <w:left w:val="single" w:color="auto" w:sz="4" w:space="0"/>
              <w:bottom w:val="nil"/>
              <w:right w:val="single" w:color="auto" w:sz="4" w:space="0"/>
            </w:tcBorders>
            <w:shd w:val="clear" w:color="auto" w:fill="FFFFFF"/>
          </w:tcPr>
          <w:p>
            <w:pPr>
              <w:rPr>
                <w:rFonts w:ascii="宋体" w:hAnsi="宋体" w:eastAsia="宋体" w:cs="宋体"/>
              </w:rPr>
            </w:pPr>
          </w:p>
        </w:tc>
        <w:tc>
          <w:tcPr>
            <w:tcW w:w="1586" w:type="dxa"/>
            <w:tcBorders>
              <w:top w:val="single" w:color="auto" w:sz="4" w:space="0"/>
              <w:left w:val="single" w:color="auto" w:sz="4" w:space="0"/>
              <w:bottom w:val="nil"/>
              <w:right w:val="single" w:color="auto" w:sz="4" w:space="0"/>
            </w:tcBorders>
            <w:shd w:val="clear" w:color="auto" w:fill="FFFFFF"/>
          </w:tcPr>
          <w:p>
            <w:pPr>
              <w:rPr>
                <w:rFonts w:ascii="宋体" w:hAnsi="宋体" w:eastAsia="宋体" w:cs="宋体"/>
              </w:rPr>
            </w:pPr>
          </w:p>
        </w:tc>
      </w:tr>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single" w:color="auto" w:sz="4" w:space="0"/>
              <w:right w:val="nil"/>
            </w:tcBorders>
            <w:shd w:val="clear" w:color="auto" w:fill="FFFFFF"/>
            <w:vAlign w:val="center"/>
          </w:tcPr>
          <w:p>
            <w:pPr>
              <w:jc w:val="center"/>
              <w:rPr>
                <w:rFonts w:ascii="宋体" w:hAnsi="宋体" w:eastAsia="宋体" w:cs="宋体"/>
              </w:rPr>
            </w:pPr>
          </w:p>
        </w:tc>
        <w:tc>
          <w:tcPr>
            <w:tcW w:w="3335" w:type="dxa"/>
            <w:tcBorders>
              <w:top w:val="single" w:color="auto" w:sz="4" w:space="0"/>
              <w:left w:val="single" w:color="auto" w:sz="4" w:space="0"/>
              <w:bottom w:val="single" w:color="auto" w:sz="4" w:space="0"/>
              <w:right w:val="nil"/>
            </w:tcBorders>
            <w:shd w:val="clear" w:color="auto" w:fill="FFFFFF"/>
          </w:tcPr>
          <w:p>
            <w:pPr>
              <w:rPr>
                <w:rFonts w:ascii="宋体" w:hAnsi="宋体" w:eastAsia="宋体" w:cs="宋体"/>
              </w:rPr>
            </w:pPr>
          </w:p>
        </w:tc>
        <w:tc>
          <w:tcPr>
            <w:tcW w:w="917" w:type="dxa"/>
            <w:tcBorders>
              <w:top w:val="single" w:color="auto" w:sz="4" w:space="0"/>
              <w:left w:val="single" w:color="auto" w:sz="4" w:space="0"/>
              <w:bottom w:val="single" w:color="auto" w:sz="4" w:space="0"/>
              <w:right w:val="nil"/>
            </w:tcBorders>
            <w:shd w:val="clear" w:color="auto" w:fill="FFFFFF"/>
          </w:tcPr>
          <w:p>
            <w:pPr>
              <w:rPr>
                <w:rFonts w:ascii="宋体" w:hAnsi="宋体" w:eastAsia="宋体" w:cs="宋体"/>
              </w:rPr>
            </w:pPr>
          </w:p>
        </w:tc>
        <w:tc>
          <w:tcPr>
            <w:tcW w:w="657" w:type="dxa"/>
            <w:tcBorders>
              <w:top w:val="single" w:color="auto" w:sz="4" w:space="0"/>
              <w:left w:val="single" w:color="auto" w:sz="4" w:space="0"/>
              <w:bottom w:val="single" w:color="auto" w:sz="4" w:space="0"/>
              <w:right w:val="nil"/>
            </w:tcBorders>
            <w:shd w:val="clear" w:color="auto" w:fill="FFFFFF"/>
          </w:tcPr>
          <w:p>
            <w:pPr>
              <w:rPr>
                <w:rFonts w:ascii="宋体" w:hAnsi="宋体" w:eastAsia="宋体" w:cs="宋体"/>
              </w:rPr>
            </w:pPr>
          </w:p>
        </w:tc>
        <w:tc>
          <w:tcPr>
            <w:tcW w:w="1610" w:type="dxa"/>
            <w:tcBorders>
              <w:top w:val="single" w:color="auto" w:sz="4" w:space="0"/>
              <w:left w:val="single" w:color="auto" w:sz="4" w:space="0"/>
              <w:bottom w:val="single" w:color="auto" w:sz="4" w:space="0"/>
              <w:right w:val="single" w:color="auto" w:sz="4" w:space="0"/>
            </w:tcBorders>
            <w:shd w:val="clear" w:color="auto" w:fill="FFFFFF"/>
          </w:tcPr>
          <w:p>
            <w:pPr>
              <w:rPr>
                <w:rFonts w:ascii="宋体" w:hAnsi="宋体" w:eastAsia="宋体" w:cs="宋体"/>
              </w:rPr>
            </w:pPr>
          </w:p>
        </w:tc>
        <w:tc>
          <w:tcPr>
            <w:tcW w:w="1586" w:type="dxa"/>
            <w:tcBorders>
              <w:top w:val="single" w:color="auto" w:sz="4" w:space="0"/>
              <w:left w:val="single" w:color="auto" w:sz="4" w:space="0"/>
              <w:bottom w:val="single" w:color="auto" w:sz="4" w:space="0"/>
              <w:right w:val="single" w:color="auto" w:sz="4" w:space="0"/>
            </w:tcBorders>
            <w:shd w:val="clear" w:color="auto" w:fill="FFFFFF"/>
          </w:tcPr>
          <w:p>
            <w:pPr>
              <w:rPr>
                <w:rFonts w:ascii="宋体" w:hAnsi="宋体" w:eastAsia="宋体" w:cs="宋体"/>
              </w:rPr>
            </w:pPr>
          </w:p>
        </w:tc>
      </w:tr>
      <w:tr>
        <w:tblPrEx>
          <w:tblCellMar>
            <w:top w:w="0" w:type="dxa"/>
            <w:left w:w="108" w:type="dxa"/>
            <w:bottom w:w="0" w:type="dxa"/>
            <w:right w:w="108" w:type="dxa"/>
          </w:tblCellMar>
        </w:tblPrEx>
        <w:trPr>
          <w:trHeight w:val="837" w:hRule="atLeast"/>
          <w:jc w:val="center"/>
        </w:trPr>
        <w:tc>
          <w:tcPr>
            <w:tcW w:w="836" w:type="dxa"/>
            <w:tcBorders>
              <w:top w:val="single" w:color="auto" w:sz="4" w:space="0"/>
              <w:left w:val="single" w:color="auto" w:sz="4" w:space="0"/>
              <w:bottom w:val="single" w:color="auto" w:sz="4" w:space="0"/>
              <w:right w:val="nil"/>
            </w:tcBorders>
            <w:shd w:val="clear" w:color="auto" w:fill="FFFFFF"/>
            <w:vAlign w:val="center"/>
          </w:tcPr>
          <w:p>
            <w:pPr>
              <w:jc w:val="center"/>
              <w:rPr>
                <w:rFonts w:ascii="宋体" w:hAnsi="宋体" w:eastAsia="宋体" w:cs="宋体"/>
              </w:rPr>
            </w:pPr>
            <w:r>
              <w:rPr>
                <w:rFonts w:hint="eastAsia" w:ascii="宋体" w:hAnsi="宋体" w:eastAsia="宋体" w:cs="宋体"/>
              </w:rPr>
              <w:t>总价</w:t>
            </w:r>
          </w:p>
        </w:tc>
        <w:tc>
          <w:tcPr>
            <w:tcW w:w="810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eastAsia="宋体" w:cs="宋体"/>
              </w:rPr>
            </w:pPr>
            <w:r>
              <w:rPr>
                <w:rFonts w:hint="eastAsia" w:ascii="宋体" w:hAnsi="宋体" w:eastAsia="宋体" w:cs="宋体"/>
                <w:szCs w:val="21"/>
              </w:rPr>
              <w:t>小写：           元</w:t>
            </w:r>
          </w:p>
        </w:tc>
      </w:tr>
    </w:tbl>
    <w:p>
      <w:pPr>
        <w:spacing w:line="360" w:lineRule="auto"/>
        <w:rPr>
          <w:rFonts w:ascii="宋体" w:hAnsi="宋体" w:eastAsia="宋体" w:cs="宋体"/>
          <w:szCs w:val="21"/>
        </w:rPr>
      </w:pPr>
    </w:p>
    <w:p>
      <w:pPr>
        <w:spacing w:line="360" w:lineRule="auto"/>
        <w:rPr>
          <w:rFonts w:ascii="宋体" w:hAnsi="宋体" w:eastAsia="宋体" w:cs="宋体"/>
          <w:b/>
          <w:bCs/>
          <w:szCs w:val="21"/>
        </w:rPr>
      </w:pPr>
      <w:r>
        <w:rPr>
          <w:rFonts w:hint="eastAsia" w:ascii="宋体" w:hAnsi="宋体" w:eastAsia="宋体" w:cs="宋体"/>
          <w:b/>
          <w:bCs/>
          <w:szCs w:val="21"/>
        </w:rPr>
        <w:t>注：谈判响应人可根据实际情况自行填写，但必须注明具体的细目内容，栏目不够可自行添加。</w:t>
      </w: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ind w:firstLine="3561" w:firstLineChars="1696"/>
        <w:rPr>
          <w:rFonts w:ascii="宋体" w:hAnsi="宋体" w:eastAsia="宋体" w:cs="宋体"/>
          <w:szCs w:val="21"/>
        </w:rPr>
      </w:pPr>
      <w:r>
        <w:rPr>
          <w:rFonts w:hint="eastAsia" w:ascii="宋体" w:hAnsi="宋体" w:eastAsia="宋体" w:cs="宋体"/>
          <w:szCs w:val="21"/>
        </w:rPr>
        <w:t>谈判响应人：</w:t>
      </w:r>
      <w:r>
        <w:rPr>
          <w:rFonts w:hint="eastAsia" w:ascii="宋体" w:hAnsi="宋体" w:eastAsia="宋体" w:cs="宋体"/>
          <w:szCs w:val="21"/>
          <w:u w:val="single"/>
        </w:rPr>
        <w:t xml:space="preserve">                             </w:t>
      </w:r>
      <w:r>
        <w:rPr>
          <w:rFonts w:hint="eastAsia" w:ascii="宋体" w:hAnsi="宋体" w:eastAsia="宋体" w:cs="宋体"/>
          <w:szCs w:val="21"/>
        </w:rPr>
        <w:t>（盖章）</w:t>
      </w:r>
    </w:p>
    <w:p>
      <w:pPr>
        <w:spacing w:line="360" w:lineRule="auto"/>
        <w:ind w:firstLine="3561" w:firstLineChars="1696"/>
        <w:rPr>
          <w:rFonts w:ascii="宋体" w:hAnsi="宋体" w:eastAsia="宋体" w:cs="宋体"/>
          <w:szCs w:val="21"/>
        </w:rPr>
      </w:pPr>
    </w:p>
    <w:p>
      <w:pPr>
        <w:spacing w:line="360" w:lineRule="auto"/>
        <w:ind w:firstLine="3570" w:firstLineChars="1700"/>
        <w:rPr>
          <w:rFonts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w:t>
      </w:r>
      <w:r>
        <w:rPr>
          <w:rFonts w:hint="eastAsia" w:ascii="宋体" w:hAnsi="宋体" w:eastAsia="宋体" w:cs="宋体"/>
          <w:szCs w:val="21"/>
        </w:rPr>
        <w:t>（盖章）</w:t>
      </w:r>
    </w:p>
    <w:p>
      <w:pPr>
        <w:spacing w:line="360" w:lineRule="auto"/>
        <w:ind w:firstLine="3570" w:firstLineChars="1700"/>
        <w:rPr>
          <w:rFonts w:ascii="宋体" w:hAnsi="宋体" w:eastAsia="宋体" w:cs="宋体"/>
          <w:szCs w:val="21"/>
        </w:rPr>
      </w:pPr>
    </w:p>
    <w:p>
      <w:pPr>
        <w:spacing w:line="360" w:lineRule="auto"/>
        <w:ind w:firstLine="3570" w:firstLineChars="1700"/>
        <w:rPr>
          <w:rFonts w:ascii="宋体" w:hAnsi="宋体" w:eastAsia="宋体" w:cs="宋体"/>
          <w:szCs w:val="21"/>
        </w:rPr>
      </w:pPr>
      <w:r>
        <w:rPr>
          <w:rFonts w:hint="eastAsia" w:ascii="宋体" w:hAnsi="宋体" w:eastAsia="宋体" w:cs="宋体"/>
          <w:szCs w:val="21"/>
        </w:rPr>
        <w:t>日  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rPr>
          <w:rFonts w:ascii="宋体" w:hAnsi="宋体" w:cs="宋体"/>
          <w:color w:val="000000"/>
          <w:szCs w:val="21"/>
        </w:rPr>
      </w:pPr>
    </w:p>
    <w:p>
      <w:pPr>
        <w:pStyle w:val="6"/>
        <w:jc w:val="center"/>
        <w:rPr>
          <w:rFonts w:hAnsi="宋体" w:cs="宋体"/>
          <w:u w:val="single"/>
        </w:rPr>
      </w:pPr>
      <w:bookmarkStart w:id="117" w:name="_Toc10635"/>
      <w:bookmarkStart w:id="118" w:name="_Toc15489"/>
      <w:bookmarkStart w:id="119" w:name="_Toc54939203"/>
      <w:r>
        <w:rPr>
          <w:rFonts w:hint="eastAsia" w:hAnsi="宋体" w:cs="宋体"/>
        </w:rPr>
        <w:t>最终报价表</w:t>
      </w:r>
      <w:bookmarkEnd w:id="117"/>
      <w:bookmarkEnd w:id="118"/>
      <w:bookmarkEnd w:id="119"/>
    </w:p>
    <w:p>
      <w:pPr>
        <w:spacing w:line="360" w:lineRule="auto"/>
        <w:rPr>
          <w:rFonts w:ascii="宋体" w:hAnsi="宋体" w:cs="宋体"/>
          <w:kern w:val="0"/>
          <w:szCs w:val="21"/>
        </w:rPr>
      </w:pPr>
      <w:r>
        <w:rPr>
          <w:rFonts w:hint="eastAsia" w:ascii="宋体" w:hAnsi="宋体" w:cs="宋体"/>
          <w:szCs w:val="21"/>
        </w:rPr>
        <w:t xml:space="preserve">项目名称： </w:t>
      </w:r>
    </w:p>
    <w:p>
      <w:pPr>
        <w:spacing w:line="360" w:lineRule="auto"/>
        <w:rPr>
          <w:rFonts w:ascii="宋体" w:hAnsi="宋体" w:cs="宋体"/>
          <w:kern w:val="0"/>
          <w:sz w:val="24"/>
          <w:lang w:val="zh-CN"/>
        </w:rPr>
      </w:pPr>
      <w:r>
        <w:rPr>
          <w:rFonts w:hint="eastAsia" w:ascii="宋体" w:hAnsi="宋体" w:cs="宋体"/>
          <w:szCs w:val="21"/>
        </w:rPr>
        <w:t xml:space="preserve">项目编号： </w:t>
      </w:r>
    </w:p>
    <w:p>
      <w:pPr>
        <w:spacing w:line="360" w:lineRule="auto"/>
        <w:ind w:firstLine="6090" w:firstLineChars="2900"/>
        <w:rPr>
          <w:rFonts w:ascii="宋体" w:hAnsi="宋体" w:cs="宋体"/>
        </w:rPr>
      </w:pPr>
      <w:r>
        <w:rPr>
          <w:rFonts w:hint="eastAsia" w:ascii="宋体" w:hAnsi="宋体" w:cs="宋体"/>
        </w:rPr>
        <w:t>金额单位：人民币（元）</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7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restart"/>
            <w:vAlign w:val="center"/>
          </w:tcPr>
          <w:p>
            <w:pPr>
              <w:spacing w:line="400" w:lineRule="exact"/>
              <w:jc w:val="center"/>
              <w:rPr>
                <w:rFonts w:ascii="宋体" w:hAnsi="宋体" w:cs="宋体"/>
                <w:sz w:val="24"/>
              </w:rPr>
            </w:pPr>
            <w:r>
              <w:rPr>
                <w:rFonts w:hint="eastAsia" w:ascii="宋体" w:hAnsi="宋体" w:cs="宋体"/>
                <w:sz w:val="24"/>
              </w:rPr>
              <w:t>最终报价</w:t>
            </w:r>
          </w:p>
        </w:tc>
        <w:tc>
          <w:tcPr>
            <w:tcW w:w="7507" w:type="dxa"/>
            <w:vAlign w:val="center"/>
          </w:tcPr>
          <w:p>
            <w:pPr>
              <w:wordWrap w:val="0"/>
              <w:spacing w:line="400" w:lineRule="exact"/>
              <w:rPr>
                <w:rFonts w:ascii="宋体" w:hAnsi="宋体" w:cs="宋体"/>
                <w:sz w:val="24"/>
              </w:rPr>
            </w:pPr>
            <w:r>
              <w:rPr>
                <w:rFonts w:hint="eastAsia" w:ascii="宋体" w:hAnsi="宋体" w:cs="宋体"/>
                <w:sz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continue"/>
            <w:vAlign w:val="center"/>
          </w:tcPr>
          <w:p>
            <w:pPr>
              <w:spacing w:line="400" w:lineRule="exact"/>
              <w:jc w:val="center"/>
              <w:rPr>
                <w:rFonts w:ascii="宋体" w:hAnsi="宋体" w:cs="宋体"/>
                <w:sz w:val="24"/>
              </w:rPr>
            </w:pPr>
          </w:p>
        </w:tc>
        <w:tc>
          <w:tcPr>
            <w:tcW w:w="7507" w:type="dxa"/>
            <w:vAlign w:val="center"/>
          </w:tcPr>
          <w:p>
            <w:pPr>
              <w:wordWrap w:val="0"/>
              <w:rPr>
                <w:rFonts w:ascii="宋体" w:hAnsi="宋体" w:cs="宋体"/>
                <w:sz w:val="24"/>
              </w:rPr>
            </w:pPr>
            <w:r>
              <w:rPr>
                <w:rFonts w:hint="eastAsia" w:ascii="宋体" w:hAnsi="宋体" w:cs="宋体"/>
                <w:sz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779" w:type="dxa"/>
            <w:vAlign w:val="center"/>
          </w:tcPr>
          <w:p>
            <w:pPr>
              <w:spacing w:line="400" w:lineRule="exact"/>
              <w:ind w:firstLine="120" w:firstLineChars="50"/>
              <w:jc w:val="center"/>
              <w:rPr>
                <w:rFonts w:hint="eastAsia" w:ascii="宋体" w:hAnsi="宋体" w:eastAsia="宋体" w:cs="宋体"/>
                <w:sz w:val="24"/>
                <w:lang w:eastAsia="zh-CN"/>
              </w:rPr>
            </w:pPr>
            <w:r>
              <w:rPr>
                <w:rFonts w:hint="eastAsia" w:ascii="宋体" w:hAnsi="宋体" w:cs="宋体"/>
                <w:color w:val="000000"/>
                <w:sz w:val="24"/>
                <w:lang w:eastAsia="zh-CN"/>
              </w:rPr>
              <w:t>合同履行期限</w:t>
            </w:r>
          </w:p>
        </w:tc>
        <w:tc>
          <w:tcPr>
            <w:tcW w:w="7507" w:type="dxa"/>
            <w:vAlign w:val="center"/>
          </w:tcPr>
          <w:p>
            <w:pPr>
              <w:spacing w:line="400" w:lineRule="exact"/>
              <w:rPr>
                <w:rFonts w:hint="eastAsia" w:ascii="宋体" w:hAnsi="宋体" w:eastAsia="宋体" w:cs="宋体"/>
                <w:sz w:val="24"/>
                <w:lang w:eastAsia="zh-CN"/>
              </w:rPr>
            </w:pPr>
            <w:r>
              <w:rPr>
                <w:rFonts w:hint="eastAsia" w:hAnsi="宋体" w:cs="宋体"/>
                <w:color w:val="000000"/>
                <w:szCs w:val="21"/>
              </w:rPr>
              <w:t>等保测评服务合同签订之后30日历天内完成等保测评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286" w:type="dxa"/>
            <w:gridSpan w:val="2"/>
            <w:vAlign w:val="center"/>
          </w:tcPr>
          <w:p>
            <w:pPr>
              <w:spacing w:line="400" w:lineRule="exact"/>
              <w:rPr>
                <w:rFonts w:ascii="宋体" w:hAnsi="宋体" w:cs="宋体"/>
                <w:sz w:val="24"/>
              </w:rPr>
            </w:pPr>
            <w:r>
              <w:rPr>
                <w:rFonts w:hint="eastAsia" w:ascii="宋体" w:hAnsi="宋体" w:cs="宋体"/>
                <w:sz w:val="24"/>
              </w:rPr>
              <w:t>备注：</w:t>
            </w:r>
          </w:p>
          <w:p>
            <w:pPr>
              <w:spacing w:line="400" w:lineRule="exact"/>
              <w:rPr>
                <w:rFonts w:ascii="宋体" w:hAnsi="宋体" w:cs="宋体"/>
                <w:sz w:val="24"/>
              </w:rPr>
            </w:pPr>
            <w:r>
              <w:rPr>
                <w:rFonts w:hint="eastAsia" w:ascii="宋体" w:hAnsi="宋体" w:cs="宋体"/>
                <w:sz w:val="24"/>
              </w:rPr>
              <w:t>1、分项报价按总报价的同等比例下浮；</w:t>
            </w:r>
          </w:p>
          <w:p>
            <w:pPr>
              <w:spacing w:line="400" w:lineRule="exact"/>
              <w:rPr>
                <w:rFonts w:ascii="宋体" w:hAnsi="宋体" w:cs="宋体"/>
                <w:sz w:val="24"/>
              </w:rPr>
            </w:pPr>
            <w:r>
              <w:rPr>
                <w:rFonts w:hint="eastAsia" w:ascii="宋体" w:hAnsi="宋体" w:cs="宋体"/>
                <w:sz w:val="24"/>
              </w:rPr>
              <w:t>2、最终报价保留两位小数，小数点后第三位四舍五入。</w:t>
            </w:r>
          </w:p>
        </w:tc>
      </w:tr>
    </w:tbl>
    <w:p>
      <w:pPr>
        <w:spacing w:line="360" w:lineRule="auto"/>
        <w:rPr>
          <w:rFonts w:ascii="宋体" w:hAnsi="宋体" w:cs="宋体"/>
          <w:b/>
          <w:sz w:val="24"/>
        </w:rPr>
      </w:pPr>
    </w:p>
    <w:p>
      <w:pPr>
        <w:spacing w:line="360" w:lineRule="auto"/>
        <w:ind w:firstLine="482" w:firstLineChars="200"/>
        <w:rPr>
          <w:rFonts w:ascii="宋体" w:hAnsi="宋体" w:cs="宋体"/>
          <w:b/>
          <w:sz w:val="24"/>
        </w:rPr>
      </w:pPr>
      <w:r>
        <w:rPr>
          <w:rFonts w:hint="eastAsia" w:ascii="宋体" w:hAnsi="宋体" w:cs="宋体"/>
          <w:b/>
          <w:sz w:val="24"/>
        </w:rPr>
        <w:t>注：此表请各谈判响应人多准备几份，并加盖谈判响应人公章及法定代表人或委托代理人签字或盖章，以便在谈判最终报价时使用。（此表由谈判响应人谈判现场递交）</w:t>
      </w:r>
    </w:p>
    <w:p>
      <w:pPr>
        <w:spacing w:line="360" w:lineRule="auto"/>
        <w:ind w:firstLine="3465" w:firstLineChars="1650"/>
        <w:rPr>
          <w:rFonts w:ascii="宋体" w:hAnsi="宋体" w:cs="宋体"/>
          <w:szCs w:val="21"/>
        </w:rPr>
      </w:pPr>
    </w:p>
    <w:p>
      <w:pPr>
        <w:pStyle w:val="16"/>
        <w:rPr>
          <w:rFonts w:ascii="宋体" w:hAnsi="宋体" w:cs="宋体"/>
          <w:szCs w:val="21"/>
        </w:rPr>
      </w:pPr>
    </w:p>
    <w:p>
      <w:pPr>
        <w:pStyle w:val="16"/>
        <w:rPr>
          <w:rFonts w:ascii="宋体" w:hAnsi="宋体" w:cs="宋体"/>
          <w:szCs w:val="21"/>
        </w:rPr>
      </w:pPr>
    </w:p>
    <w:p>
      <w:pPr>
        <w:pStyle w:val="16"/>
        <w:rPr>
          <w:rFonts w:ascii="宋体" w:hAnsi="宋体" w:cs="宋体"/>
          <w:szCs w:val="21"/>
        </w:rPr>
      </w:pPr>
    </w:p>
    <w:p>
      <w:pPr>
        <w:pStyle w:val="16"/>
        <w:rPr>
          <w:rFonts w:ascii="宋体" w:hAnsi="宋体" w:cs="宋体"/>
          <w:szCs w:val="21"/>
        </w:rPr>
      </w:pPr>
    </w:p>
    <w:p>
      <w:pPr>
        <w:pStyle w:val="16"/>
        <w:rPr>
          <w:rFonts w:ascii="宋体" w:hAnsi="宋体" w:cs="宋体"/>
          <w:szCs w:val="21"/>
        </w:rPr>
      </w:pPr>
    </w:p>
    <w:p>
      <w:pPr>
        <w:spacing w:line="360" w:lineRule="auto"/>
        <w:ind w:firstLine="3465" w:firstLineChars="1650"/>
        <w:jc w:val="right"/>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spacing w:line="360" w:lineRule="auto"/>
        <w:ind w:firstLine="3561" w:firstLineChars="1696"/>
        <w:jc w:val="right"/>
        <w:rPr>
          <w:rFonts w:ascii="宋体" w:hAnsi="宋体" w:cs="宋体"/>
          <w:szCs w:val="21"/>
        </w:rPr>
      </w:pPr>
    </w:p>
    <w:p>
      <w:pPr>
        <w:spacing w:line="360" w:lineRule="auto"/>
        <w:ind w:firstLine="3465" w:firstLineChars="1650"/>
        <w:jc w:val="right"/>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jc w:val="right"/>
        <w:rPr>
          <w:rFonts w:ascii="宋体" w:hAnsi="宋体" w:cs="宋体"/>
          <w:szCs w:val="21"/>
        </w:rPr>
      </w:pPr>
    </w:p>
    <w:p>
      <w:pPr>
        <w:spacing w:line="360" w:lineRule="auto"/>
        <w:jc w:val="righ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color w:val="000000"/>
          <w:szCs w:val="21"/>
        </w:rPr>
      </w:pPr>
    </w:p>
    <w:p>
      <w:pPr>
        <w:spacing w:line="360" w:lineRule="auto"/>
        <w:rPr>
          <w:rFonts w:ascii="宋体" w:hAnsi="宋体" w:cs="宋体"/>
          <w:b/>
          <w:color w:val="000000"/>
          <w:szCs w:val="21"/>
        </w:rPr>
      </w:pPr>
    </w:p>
    <w:p>
      <w:pPr>
        <w:pStyle w:val="9"/>
      </w:pPr>
    </w:p>
    <w:p>
      <w:pPr>
        <w:pStyle w:val="6"/>
        <w:jc w:val="center"/>
        <w:rPr>
          <w:rFonts w:ascii="宋体" w:hAnsi="宋体" w:eastAsia="宋体" w:cs="宋体"/>
        </w:rPr>
      </w:pPr>
      <w:bookmarkStart w:id="120" w:name="_Toc28153"/>
      <w:bookmarkStart w:id="121" w:name="_Toc54939204"/>
      <w:r>
        <w:rPr>
          <w:rFonts w:hint="eastAsia" w:hAnsi="宋体" w:cs="宋体"/>
        </w:rPr>
        <w:t>三、</w:t>
      </w:r>
      <w:bookmarkEnd w:id="120"/>
      <w:bookmarkEnd w:id="121"/>
      <w:bookmarkStart w:id="122" w:name="_Toc25208"/>
      <w:r>
        <w:rPr>
          <w:rFonts w:hint="eastAsia" w:ascii="宋体" w:hAnsi="宋体" w:eastAsia="宋体" w:cs="宋体"/>
        </w:rPr>
        <w:t>服务内容及质量要求响应表</w:t>
      </w:r>
      <w:bookmarkEnd w:id="122"/>
    </w:p>
    <w:p>
      <w:pPr>
        <w:spacing w:line="360" w:lineRule="auto"/>
        <w:rPr>
          <w:rFonts w:ascii="宋体" w:hAnsi="宋体" w:eastAsia="宋体" w:cs="宋体"/>
          <w:b/>
          <w:szCs w:val="21"/>
        </w:rPr>
      </w:pPr>
      <w:r>
        <w:rPr>
          <w:rFonts w:hint="eastAsia" w:ascii="宋体" w:hAnsi="宋体" w:eastAsia="宋体" w:cs="宋体"/>
          <w:szCs w:val="21"/>
        </w:rPr>
        <w:t>项目名称：</w:t>
      </w:r>
    </w:p>
    <w:tbl>
      <w:tblPr>
        <w:tblStyle w:val="23"/>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000"/>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86"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序号</w:t>
            </w:r>
          </w:p>
        </w:tc>
        <w:tc>
          <w:tcPr>
            <w:tcW w:w="6000"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响应服务内容质量要求</w:t>
            </w:r>
          </w:p>
        </w:tc>
        <w:tc>
          <w:tcPr>
            <w:tcW w:w="2209"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vAlign w:val="center"/>
          </w:tcPr>
          <w:p>
            <w:pPr>
              <w:spacing w:line="360" w:lineRule="auto"/>
              <w:jc w:val="center"/>
              <w:rPr>
                <w:rFonts w:ascii="宋体" w:hAnsi="宋体" w:eastAsia="宋体" w:cs="宋体"/>
                <w:spacing w:val="-4"/>
                <w:szCs w:val="21"/>
              </w:rPr>
            </w:pPr>
          </w:p>
        </w:tc>
        <w:tc>
          <w:tcPr>
            <w:tcW w:w="6000" w:type="dxa"/>
            <w:vAlign w:val="center"/>
          </w:tcPr>
          <w:p>
            <w:pPr>
              <w:spacing w:line="360" w:lineRule="auto"/>
              <w:jc w:val="center"/>
              <w:rPr>
                <w:rFonts w:ascii="宋体" w:hAnsi="宋体" w:eastAsia="宋体" w:cs="宋体"/>
                <w:szCs w:val="21"/>
              </w:rPr>
            </w:pPr>
          </w:p>
        </w:tc>
        <w:tc>
          <w:tcPr>
            <w:tcW w:w="2209" w:type="dxa"/>
            <w:vAlign w:val="center"/>
          </w:tcPr>
          <w:p>
            <w:pPr>
              <w:spacing w:line="360" w:lineRule="auto"/>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vAlign w:val="center"/>
          </w:tcPr>
          <w:p>
            <w:pPr>
              <w:spacing w:line="360" w:lineRule="auto"/>
              <w:jc w:val="center"/>
              <w:rPr>
                <w:rFonts w:ascii="宋体" w:hAnsi="宋体" w:eastAsia="宋体" w:cs="宋体"/>
                <w:spacing w:val="-4"/>
                <w:szCs w:val="21"/>
              </w:rPr>
            </w:pPr>
          </w:p>
        </w:tc>
        <w:tc>
          <w:tcPr>
            <w:tcW w:w="6000" w:type="dxa"/>
            <w:vAlign w:val="center"/>
          </w:tcPr>
          <w:p>
            <w:pPr>
              <w:spacing w:line="360" w:lineRule="auto"/>
              <w:jc w:val="center"/>
              <w:rPr>
                <w:rFonts w:ascii="宋体" w:hAnsi="宋体" w:eastAsia="宋体" w:cs="宋体"/>
                <w:szCs w:val="21"/>
              </w:rPr>
            </w:pPr>
          </w:p>
        </w:tc>
        <w:tc>
          <w:tcPr>
            <w:tcW w:w="2209" w:type="dxa"/>
            <w:vAlign w:val="center"/>
          </w:tcPr>
          <w:p>
            <w:pPr>
              <w:spacing w:line="360" w:lineRule="auto"/>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vAlign w:val="center"/>
          </w:tcPr>
          <w:p>
            <w:pPr>
              <w:spacing w:line="360" w:lineRule="auto"/>
              <w:jc w:val="center"/>
              <w:rPr>
                <w:rFonts w:ascii="宋体" w:hAnsi="宋体" w:eastAsia="宋体" w:cs="宋体"/>
                <w:spacing w:val="-4"/>
                <w:szCs w:val="21"/>
              </w:rPr>
            </w:pPr>
          </w:p>
        </w:tc>
        <w:tc>
          <w:tcPr>
            <w:tcW w:w="6000" w:type="dxa"/>
            <w:vAlign w:val="center"/>
          </w:tcPr>
          <w:p>
            <w:pPr>
              <w:spacing w:line="360" w:lineRule="auto"/>
              <w:jc w:val="center"/>
              <w:rPr>
                <w:rFonts w:ascii="宋体" w:hAnsi="宋体" w:eastAsia="宋体" w:cs="宋体"/>
                <w:szCs w:val="21"/>
              </w:rPr>
            </w:pPr>
          </w:p>
        </w:tc>
        <w:tc>
          <w:tcPr>
            <w:tcW w:w="2209" w:type="dxa"/>
            <w:vAlign w:val="center"/>
          </w:tcPr>
          <w:p>
            <w:pPr>
              <w:spacing w:line="360" w:lineRule="auto"/>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vAlign w:val="center"/>
          </w:tcPr>
          <w:p>
            <w:pPr>
              <w:spacing w:line="360" w:lineRule="auto"/>
              <w:jc w:val="center"/>
              <w:rPr>
                <w:rFonts w:ascii="宋体" w:hAnsi="宋体" w:eastAsia="宋体" w:cs="宋体"/>
                <w:spacing w:val="-4"/>
                <w:szCs w:val="21"/>
              </w:rPr>
            </w:pPr>
          </w:p>
        </w:tc>
        <w:tc>
          <w:tcPr>
            <w:tcW w:w="6000" w:type="dxa"/>
            <w:vAlign w:val="center"/>
          </w:tcPr>
          <w:p>
            <w:pPr>
              <w:spacing w:line="360" w:lineRule="auto"/>
              <w:jc w:val="center"/>
              <w:rPr>
                <w:rFonts w:ascii="宋体" w:hAnsi="宋体" w:eastAsia="宋体" w:cs="宋体"/>
                <w:szCs w:val="21"/>
              </w:rPr>
            </w:pPr>
          </w:p>
        </w:tc>
        <w:tc>
          <w:tcPr>
            <w:tcW w:w="2209" w:type="dxa"/>
            <w:vAlign w:val="center"/>
          </w:tcPr>
          <w:p>
            <w:pPr>
              <w:spacing w:line="360" w:lineRule="auto"/>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vAlign w:val="center"/>
          </w:tcPr>
          <w:p>
            <w:pPr>
              <w:spacing w:line="360" w:lineRule="auto"/>
              <w:jc w:val="center"/>
              <w:rPr>
                <w:rFonts w:ascii="宋体" w:hAnsi="宋体" w:eastAsia="宋体" w:cs="宋体"/>
                <w:spacing w:val="-4"/>
                <w:szCs w:val="21"/>
              </w:rPr>
            </w:pPr>
          </w:p>
        </w:tc>
        <w:tc>
          <w:tcPr>
            <w:tcW w:w="6000" w:type="dxa"/>
            <w:vAlign w:val="center"/>
          </w:tcPr>
          <w:p>
            <w:pPr>
              <w:spacing w:line="360" w:lineRule="auto"/>
              <w:jc w:val="center"/>
              <w:rPr>
                <w:rFonts w:ascii="宋体" w:hAnsi="宋体" w:eastAsia="宋体" w:cs="宋体"/>
                <w:szCs w:val="21"/>
              </w:rPr>
            </w:pPr>
          </w:p>
        </w:tc>
        <w:tc>
          <w:tcPr>
            <w:tcW w:w="2209" w:type="dxa"/>
            <w:vAlign w:val="center"/>
          </w:tcPr>
          <w:p>
            <w:pPr>
              <w:spacing w:line="360" w:lineRule="auto"/>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vAlign w:val="center"/>
          </w:tcPr>
          <w:p>
            <w:pPr>
              <w:spacing w:line="360" w:lineRule="auto"/>
              <w:jc w:val="center"/>
              <w:rPr>
                <w:rFonts w:ascii="宋体" w:hAnsi="宋体" w:eastAsia="宋体" w:cs="宋体"/>
                <w:spacing w:val="-4"/>
                <w:szCs w:val="21"/>
              </w:rPr>
            </w:pPr>
          </w:p>
        </w:tc>
        <w:tc>
          <w:tcPr>
            <w:tcW w:w="6000" w:type="dxa"/>
            <w:vAlign w:val="center"/>
          </w:tcPr>
          <w:p>
            <w:pPr>
              <w:spacing w:line="360" w:lineRule="auto"/>
              <w:jc w:val="center"/>
              <w:rPr>
                <w:rFonts w:ascii="宋体" w:hAnsi="宋体" w:eastAsia="宋体" w:cs="宋体"/>
                <w:szCs w:val="21"/>
              </w:rPr>
            </w:pPr>
          </w:p>
        </w:tc>
        <w:tc>
          <w:tcPr>
            <w:tcW w:w="2209" w:type="dxa"/>
            <w:vAlign w:val="center"/>
          </w:tcPr>
          <w:p>
            <w:pPr>
              <w:spacing w:line="360" w:lineRule="auto"/>
              <w:jc w:val="center"/>
              <w:rPr>
                <w:rFonts w:ascii="宋体" w:hAnsi="宋体" w:eastAsia="宋体" w:cs="宋体"/>
                <w:b/>
                <w:szCs w:val="21"/>
              </w:rPr>
            </w:pPr>
          </w:p>
        </w:tc>
      </w:tr>
    </w:tbl>
    <w:p>
      <w:pPr>
        <w:tabs>
          <w:tab w:val="left" w:pos="1815"/>
        </w:tabs>
        <w:spacing w:line="360" w:lineRule="auto"/>
        <w:ind w:firstLine="413" w:firstLineChars="196"/>
        <w:rPr>
          <w:rFonts w:ascii="宋体" w:hAnsi="宋体" w:eastAsia="宋体" w:cs="宋体"/>
          <w:b/>
          <w:szCs w:val="21"/>
        </w:rPr>
      </w:pPr>
      <w:r>
        <w:rPr>
          <w:rFonts w:hint="eastAsia" w:ascii="宋体" w:hAnsi="宋体" w:eastAsia="宋体" w:cs="宋体"/>
          <w:b/>
          <w:szCs w:val="21"/>
        </w:rPr>
        <w:t>注：</w:t>
      </w:r>
    </w:p>
    <w:p>
      <w:pPr>
        <w:tabs>
          <w:tab w:val="left" w:pos="1815"/>
        </w:tabs>
        <w:spacing w:line="360" w:lineRule="auto"/>
        <w:ind w:firstLine="411" w:firstLineChars="196"/>
        <w:rPr>
          <w:rFonts w:ascii="宋体" w:hAnsi="宋体" w:eastAsia="宋体" w:cs="宋体"/>
          <w:szCs w:val="21"/>
        </w:rPr>
      </w:pPr>
      <w:r>
        <w:rPr>
          <w:rFonts w:hint="eastAsia" w:ascii="宋体" w:hAnsi="宋体" w:eastAsia="宋体" w:cs="宋体"/>
          <w:szCs w:val="21"/>
        </w:rPr>
        <w:t>1、谈判响应人必须将自己所投服务真实、准确地填入以上表格中。</w:t>
      </w:r>
    </w:p>
    <w:p>
      <w:pPr>
        <w:tabs>
          <w:tab w:val="left" w:pos="1815"/>
        </w:tabs>
        <w:spacing w:line="360" w:lineRule="auto"/>
        <w:ind w:left="1" w:firstLine="417" w:firstLineChars="199"/>
        <w:rPr>
          <w:rFonts w:ascii="宋体" w:hAnsi="宋体" w:eastAsia="宋体" w:cs="宋体"/>
          <w:szCs w:val="21"/>
        </w:rPr>
      </w:pPr>
      <w:r>
        <w:rPr>
          <w:rFonts w:hint="eastAsia" w:ascii="宋体" w:hAnsi="宋体" w:eastAsia="宋体" w:cs="宋体"/>
          <w:szCs w:val="21"/>
        </w:rPr>
        <w:t>2、谈判响应人必须根据自己所投服务与“服务需求及技术要求”的差异情况，实事求是地填写“响应情况”（优于、满足、不满足） 。</w:t>
      </w:r>
    </w:p>
    <w:p>
      <w:pPr>
        <w:tabs>
          <w:tab w:val="left" w:pos="1815"/>
        </w:tabs>
        <w:spacing w:line="360" w:lineRule="auto"/>
        <w:ind w:firstLine="420" w:firstLineChars="200"/>
        <w:rPr>
          <w:rFonts w:ascii="宋体" w:hAnsi="宋体" w:eastAsia="宋体" w:cs="宋体"/>
          <w:szCs w:val="21"/>
        </w:rPr>
      </w:pPr>
    </w:p>
    <w:p>
      <w:pPr>
        <w:spacing w:line="360" w:lineRule="auto"/>
        <w:ind w:firstLine="3561" w:firstLineChars="1696"/>
        <w:rPr>
          <w:rFonts w:ascii="宋体" w:hAnsi="宋体" w:eastAsia="宋体" w:cs="宋体"/>
          <w:szCs w:val="21"/>
        </w:rPr>
      </w:pPr>
      <w:r>
        <w:rPr>
          <w:rFonts w:hint="eastAsia" w:ascii="宋体" w:hAnsi="宋体" w:eastAsia="宋体" w:cs="宋体"/>
          <w:szCs w:val="21"/>
        </w:rPr>
        <w:t>谈判响应人：</w:t>
      </w:r>
      <w:r>
        <w:rPr>
          <w:rFonts w:hint="eastAsia" w:ascii="宋体" w:hAnsi="宋体" w:eastAsia="宋体" w:cs="宋体"/>
          <w:szCs w:val="21"/>
          <w:u w:val="single"/>
        </w:rPr>
        <w:t xml:space="preserve">                             </w:t>
      </w:r>
      <w:r>
        <w:rPr>
          <w:rFonts w:hint="eastAsia" w:ascii="宋体" w:hAnsi="宋体" w:eastAsia="宋体" w:cs="宋体"/>
          <w:szCs w:val="21"/>
        </w:rPr>
        <w:t>（盖章）</w:t>
      </w:r>
    </w:p>
    <w:p>
      <w:pPr>
        <w:spacing w:line="360" w:lineRule="auto"/>
        <w:ind w:firstLine="3561" w:firstLineChars="1696"/>
        <w:rPr>
          <w:rFonts w:ascii="宋体" w:hAnsi="宋体" w:eastAsia="宋体" w:cs="宋体"/>
          <w:szCs w:val="21"/>
        </w:rPr>
      </w:pPr>
    </w:p>
    <w:p>
      <w:pPr>
        <w:spacing w:line="360" w:lineRule="auto"/>
        <w:ind w:firstLine="3570" w:firstLineChars="1700"/>
        <w:rPr>
          <w:rFonts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w:t>
      </w:r>
      <w:r>
        <w:rPr>
          <w:rFonts w:hint="eastAsia" w:ascii="宋体" w:hAnsi="宋体" w:eastAsia="宋体" w:cs="宋体"/>
          <w:szCs w:val="21"/>
        </w:rPr>
        <w:t>（盖章）</w:t>
      </w:r>
    </w:p>
    <w:p>
      <w:pPr>
        <w:spacing w:line="360" w:lineRule="auto"/>
        <w:ind w:firstLine="3570" w:firstLineChars="1700"/>
        <w:rPr>
          <w:rFonts w:ascii="宋体" w:hAnsi="宋体" w:eastAsia="宋体" w:cs="宋体"/>
          <w:szCs w:val="21"/>
        </w:rPr>
      </w:pPr>
    </w:p>
    <w:p>
      <w:pPr>
        <w:spacing w:line="360" w:lineRule="auto"/>
        <w:ind w:firstLine="3570" w:firstLineChars="1700"/>
        <w:rPr>
          <w:rFonts w:ascii="宋体" w:hAnsi="宋体" w:eastAsia="宋体" w:cs="宋体"/>
          <w:szCs w:val="21"/>
        </w:rPr>
      </w:pPr>
      <w:r>
        <w:rPr>
          <w:rFonts w:hint="eastAsia" w:ascii="宋体" w:hAnsi="宋体" w:eastAsia="宋体" w:cs="宋体"/>
          <w:szCs w:val="21"/>
        </w:rPr>
        <w:t>日  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widowControl/>
        <w:jc w:val="left"/>
        <w:rPr>
          <w:rFonts w:ascii="宋体" w:hAnsi="宋体" w:eastAsia="宋体" w:cs="宋体"/>
          <w:szCs w:val="21"/>
        </w:rPr>
      </w:pPr>
      <w:r>
        <w:rPr>
          <w:rFonts w:ascii="宋体" w:hAnsi="宋体" w:eastAsia="宋体" w:cs="宋体"/>
          <w:szCs w:val="21"/>
        </w:rPr>
        <w:br w:type="page"/>
      </w:r>
    </w:p>
    <w:p>
      <w:pPr>
        <w:pStyle w:val="6"/>
        <w:jc w:val="center"/>
        <w:rPr>
          <w:rFonts w:ascii="宋体" w:hAnsi="宋体" w:eastAsia="宋体" w:cs="宋体"/>
          <w:bdr w:val="single" w:color="auto" w:sz="4" w:space="0"/>
        </w:rPr>
      </w:pPr>
      <w:bookmarkStart w:id="123" w:name="_Toc2920"/>
      <w:bookmarkStart w:id="124" w:name="_Toc2993"/>
      <w:r>
        <w:rPr>
          <w:rFonts w:hint="eastAsia" w:hAnsi="宋体" w:cs="宋体"/>
          <w:color w:val="000000"/>
        </w:rPr>
        <w:t>四、</w:t>
      </w:r>
      <w:bookmarkEnd w:id="123"/>
      <w:bookmarkEnd w:id="124"/>
      <w:r>
        <w:rPr>
          <w:rFonts w:hint="eastAsia" w:ascii="宋体" w:hAnsi="宋体" w:eastAsia="宋体" w:cs="宋体"/>
        </w:rPr>
        <w:t>服务方案</w:t>
      </w:r>
    </w:p>
    <w:p>
      <w:pPr>
        <w:spacing w:line="360" w:lineRule="auto"/>
        <w:ind w:firstLine="420" w:firstLineChars="200"/>
        <w:rPr>
          <w:rFonts w:ascii="宋体" w:hAnsi="宋体" w:eastAsia="宋体" w:cs="宋体"/>
          <w:szCs w:val="21"/>
        </w:rPr>
      </w:pPr>
    </w:p>
    <w:p>
      <w:pPr>
        <w:spacing w:line="360" w:lineRule="auto"/>
        <w:ind w:firstLine="420" w:firstLineChars="200"/>
        <w:rPr>
          <w:rFonts w:ascii="宋体" w:hAnsi="宋体" w:eastAsia="宋体" w:cs="宋体"/>
          <w:szCs w:val="21"/>
        </w:rPr>
      </w:pPr>
      <w:r>
        <w:rPr>
          <w:rFonts w:hint="eastAsia" w:ascii="宋体" w:hAnsi="宋体" w:eastAsia="宋体" w:cs="宋体"/>
          <w:szCs w:val="21"/>
        </w:rPr>
        <w:t>谈判响应人依据第三章“服务需求及技术要求”自行提供。</w:t>
      </w:r>
    </w:p>
    <w:p>
      <w:pPr>
        <w:spacing w:line="360" w:lineRule="auto"/>
        <w:ind w:firstLine="420" w:firstLineChars="200"/>
        <w:rPr>
          <w:rFonts w:ascii="宋体" w:hAnsi="宋体" w:eastAsia="宋体" w:cs="宋体"/>
          <w:szCs w:val="21"/>
        </w:rPr>
      </w:pPr>
      <w:r>
        <w:rPr>
          <w:rFonts w:hint="eastAsia" w:ascii="宋体" w:hAnsi="宋体" w:eastAsia="宋体" w:cs="宋体"/>
          <w:szCs w:val="21"/>
        </w:rPr>
        <w:t>1、服务方案</w:t>
      </w:r>
    </w:p>
    <w:p>
      <w:pPr>
        <w:spacing w:line="360" w:lineRule="auto"/>
        <w:ind w:firstLine="420" w:firstLineChars="200"/>
        <w:rPr>
          <w:rFonts w:ascii="宋体" w:hAnsi="宋体" w:eastAsia="宋体" w:cs="宋体"/>
          <w:szCs w:val="21"/>
        </w:rPr>
      </w:pPr>
      <w:r>
        <w:rPr>
          <w:rFonts w:hint="eastAsia" w:ascii="宋体" w:hAnsi="宋体" w:eastAsia="宋体" w:cs="宋体"/>
          <w:szCs w:val="21"/>
        </w:rPr>
        <w:t>2、人员培训方案</w:t>
      </w:r>
    </w:p>
    <w:p>
      <w:pPr>
        <w:spacing w:line="360" w:lineRule="auto"/>
        <w:ind w:firstLine="420" w:firstLineChars="200"/>
        <w:rPr>
          <w:rFonts w:ascii="宋体" w:hAnsi="宋体" w:eastAsia="宋体" w:cs="宋体"/>
          <w:szCs w:val="21"/>
        </w:rPr>
      </w:pPr>
      <w:r>
        <w:rPr>
          <w:rFonts w:hint="eastAsia" w:ascii="宋体" w:hAnsi="宋体" w:eastAsia="宋体" w:cs="宋体"/>
          <w:szCs w:val="21"/>
        </w:rPr>
        <w:t>3、服务保证及服务承诺</w:t>
      </w:r>
    </w:p>
    <w:p>
      <w:pPr>
        <w:spacing w:line="360" w:lineRule="auto"/>
        <w:ind w:firstLine="420" w:firstLineChars="200"/>
        <w:rPr>
          <w:rFonts w:ascii="宋体" w:hAnsi="宋体" w:eastAsia="宋体" w:cs="宋体"/>
          <w:spacing w:val="-4"/>
          <w:kern w:val="0"/>
          <w:szCs w:val="21"/>
        </w:rPr>
      </w:pPr>
      <w:r>
        <w:rPr>
          <w:rFonts w:hint="eastAsia" w:ascii="宋体" w:hAnsi="宋体" w:eastAsia="宋体" w:cs="宋体"/>
          <w:szCs w:val="21"/>
        </w:rPr>
        <w:t>4、谈判响应人认为需要提供的其他资料</w:t>
      </w:r>
    </w:p>
    <w:p>
      <w:pPr>
        <w:spacing w:line="360" w:lineRule="auto"/>
        <w:ind w:firstLine="420" w:firstLineChars="200"/>
        <w:rPr>
          <w:rFonts w:ascii="宋体" w:hAnsi="宋体" w:eastAsia="宋体" w:cs="宋体"/>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pStyle w:val="2"/>
        <w:rPr>
          <w:rFonts w:ascii="宋体" w:hAnsi="宋体" w:cs="宋体"/>
          <w:color w:val="000000"/>
          <w:szCs w:val="21"/>
        </w:rPr>
      </w:pPr>
    </w:p>
    <w:p>
      <w:pPr>
        <w:spacing w:line="360" w:lineRule="auto"/>
        <w:rPr>
          <w:rFonts w:ascii="宋体" w:hAnsi="宋体" w:cs="宋体"/>
          <w:color w:val="000000"/>
          <w:szCs w:val="21"/>
        </w:rPr>
      </w:pPr>
    </w:p>
    <w:p>
      <w:pPr>
        <w:pStyle w:val="9"/>
        <w:rPr>
          <w:rFonts w:ascii="宋体" w:hAnsi="宋体" w:cs="宋体"/>
          <w:color w:val="000000"/>
          <w:szCs w:val="21"/>
        </w:rPr>
      </w:pPr>
    </w:p>
    <w:p>
      <w:pPr>
        <w:pStyle w:val="6"/>
        <w:jc w:val="center"/>
        <w:rPr>
          <w:rFonts w:hAnsi="宋体" w:cs="宋体"/>
          <w:color w:val="000000"/>
        </w:rPr>
      </w:pPr>
      <w:bookmarkStart w:id="125" w:name="_Toc13353"/>
      <w:bookmarkStart w:id="126" w:name="_Toc25547"/>
      <w:r>
        <w:rPr>
          <w:rFonts w:hint="eastAsia" w:hAnsi="宋体" w:cs="宋体"/>
          <w:color w:val="000000"/>
        </w:rPr>
        <w:t>五、诚信谈判响应承诺书</w:t>
      </w:r>
      <w:bookmarkEnd w:id="125"/>
      <w:bookmarkEnd w:id="126"/>
    </w:p>
    <w:p>
      <w:pPr>
        <w:rPr>
          <w:rFonts w:ascii="宋体" w:hAnsi="宋体" w:cs="宋体"/>
          <w:b/>
          <w:bCs/>
          <w:color w:val="000000"/>
          <w:sz w:val="24"/>
        </w:rPr>
      </w:pP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本人以企业法定代表人的身份郑重承诺：</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一、将遵循公开、公正和诚实信用的原则自愿参加</w:t>
      </w:r>
      <w:r>
        <w:rPr>
          <w:rFonts w:hint="eastAsia" w:ascii="宋体" w:hAnsi="宋体" w:cs="宋体"/>
          <w:b/>
          <w:bCs/>
          <w:color w:val="000000"/>
          <w:szCs w:val="21"/>
          <w:u w:val="single"/>
        </w:rPr>
        <w:t xml:space="preserve">                </w:t>
      </w:r>
      <w:r>
        <w:rPr>
          <w:rFonts w:hint="eastAsia" w:ascii="宋体" w:hAnsi="宋体" w:cs="宋体"/>
          <w:b/>
          <w:bCs/>
          <w:color w:val="000000"/>
          <w:szCs w:val="21"/>
        </w:rPr>
        <w:t>项目的竞争性谈判活动；</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二、所提供的一切材料都是真实、有效、合法的；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三、不出借、转让资质证书，不让他人挂靠谈判，不以他人名义谈判响应或者以其他方式弄虚作假，骗取成交；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四、不与其他谈判响应人相互串通报价，不排挤其他谈判响应人的公平竞争、损害采购人的合法权益；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五、不与采购单位或其他谈判响应人串通投标，损害国家利益、社会公共利益或者他人的合法权益；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六、严格遵守开标现场纪律，服从监管人员管理；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七、保证成交后不转包，若有合法分包征得采购人同意；</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八、保证成交之后，按照谈判响应文件承诺提供货物、服务及派驻人员；</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九、保证企业及所属相关人员在本次谈判响应中无行贿等犯罪行为；</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十、我单位在安徽省公共资源交易市场主体库中录入的信息真实，无编造虚假信息。一旦发现弄虚作假将按《诚信谈判响应承诺书》和有关法律法规中的规定接受处理。</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十一、如在谈判响应过程和评审结果公告质疑期内发生投诉行为，保证按照《安庆市公共资源交易投诉处理暂行办法》要求进行。投诉内容符合要求，投诉材料加盖企业公章或由法定代表人或其委托代理人签字，并附有关身份证明。不恶意投诉，对本公司提供的投诉线索的真实性负责。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十二、我方保证对本次竞争性谈判活动有任何疑问或投诉，都依法在规定的时间内提出。否则，不针对本次竞争性谈判活动提出任何质疑或投诉。</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以上内容我已仔细阅读，本公司若有违反承诺内容的行为，自愿承担竞争性谈判文件确定的责任和法律责任并接受相关行政部门给予的处理和处罚。给采购人造成损失的，依法承担赔偿责任。</w:t>
      </w:r>
    </w:p>
    <w:p>
      <w:pPr>
        <w:rPr>
          <w:rFonts w:ascii="宋体" w:hAnsi="宋体" w:cs="宋体"/>
          <w:b/>
          <w:bCs/>
          <w:color w:val="000000"/>
          <w:szCs w:val="21"/>
        </w:rPr>
      </w:pPr>
      <w:r>
        <w:rPr>
          <w:rFonts w:hint="eastAsia" w:ascii="宋体" w:hAnsi="宋体" w:cs="宋体"/>
          <w:b/>
          <w:bCs/>
          <w:color w:val="000000"/>
          <w:szCs w:val="21"/>
        </w:rPr>
        <w:t xml:space="preserve">  </w:t>
      </w:r>
    </w:p>
    <w:p>
      <w:pPr>
        <w:rPr>
          <w:rFonts w:ascii="宋体" w:hAnsi="宋体" w:cs="宋体"/>
          <w:b/>
          <w:bCs/>
          <w:color w:val="000000"/>
          <w:szCs w:val="21"/>
        </w:rPr>
      </w:pPr>
    </w:p>
    <w:p>
      <w:pPr>
        <w:jc w:val="center"/>
        <w:rPr>
          <w:rFonts w:ascii="宋体" w:hAnsi="宋体" w:cs="宋体"/>
          <w:b/>
          <w:bCs/>
          <w:szCs w:val="21"/>
        </w:rPr>
      </w:pPr>
      <w:r>
        <w:rPr>
          <w:rFonts w:hint="eastAsia" w:ascii="宋体" w:hAnsi="宋体" w:cs="宋体"/>
          <w:b/>
          <w:bCs/>
          <w:color w:val="000000"/>
          <w:szCs w:val="21"/>
        </w:rPr>
        <w:t xml:space="preserve">                                    </w:t>
      </w:r>
      <w:bookmarkStart w:id="127" w:name="_Toc22272"/>
      <w:r>
        <w:rPr>
          <w:rFonts w:hint="eastAsia" w:ascii="宋体" w:hAnsi="宋体" w:cs="宋体"/>
          <w:b/>
          <w:bCs/>
          <w:szCs w:val="21"/>
        </w:rPr>
        <w:t xml:space="preserve"> 谈判响应单位（盖章）：</w:t>
      </w:r>
    </w:p>
    <w:p>
      <w:pPr>
        <w:jc w:val="right"/>
        <w:rPr>
          <w:rFonts w:ascii="宋体" w:hAnsi="宋体" w:cs="宋体"/>
          <w:b/>
          <w:bCs/>
          <w:szCs w:val="21"/>
        </w:rPr>
      </w:pPr>
    </w:p>
    <w:p>
      <w:pPr>
        <w:spacing w:line="360" w:lineRule="auto"/>
        <w:ind w:firstLine="3479" w:firstLineChars="1650"/>
        <w:rPr>
          <w:rFonts w:ascii="宋体" w:hAnsi="宋体" w:cs="宋体"/>
          <w:b/>
          <w:bCs/>
          <w:szCs w:val="21"/>
        </w:rPr>
      </w:pPr>
      <w:r>
        <w:rPr>
          <w:rFonts w:hint="eastAsia" w:ascii="宋体" w:hAnsi="宋体" w:cs="宋体"/>
          <w:b/>
          <w:bCs/>
          <w:szCs w:val="21"/>
        </w:rPr>
        <w:t xml:space="preserve">     法定代表人或委托代理人：</w:t>
      </w:r>
      <w:r>
        <w:rPr>
          <w:rFonts w:hint="eastAsia" w:ascii="宋体" w:hAnsi="宋体" w:cs="宋体"/>
          <w:b/>
          <w:bCs/>
          <w:szCs w:val="21"/>
          <w:u w:val="single"/>
        </w:rPr>
        <w:t xml:space="preserve">           </w:t>
      </w:r>
      <w:r>
        <w:rPr>
          <w:rFonts w:hint="eastAsia" w:ascii="宋体" w:hAnsi="宋体" w:cs="宋体"/>
          <w:b/>
          <w:bCs/>
          <w:szCs w:val="21"/>
        </w:rPr>
        <w:t>（签字或盖章）</w:t>
      </w:r>
    </w:p>
    <w:p>
      <w:pPr>
        <w:jc w:val="center"/>
        <w:rPr>
          <w:rFonts w:ascii="宋体" w:hAnsi="宋体" w:cs="宋体"/>
          <w:b/>
          <w:bCs/>
          <w:szCs w:val="21"/>
        </w:rPr>
      </w:pPr>
    </w:p>
    <w:p>
      <w:pPr>
        <w:jc w:val="right"/>
        <w:rPr>
          <w:rFonts w:ascii="宋体" w:hAnsi="宋体" w:cs="宋体"/>
          <w:b/>
          <w:bCs/>
          <w:szCs w:val="21"/>
        </w:rPr>
      </w:pPr>
    </w:p>
    <w:p>
      <w:pPr>
        <w:ind w:right="480"/>
        <w:jc w:val="center"/>
        <w:rPr>
          <w:rFonts w:ascii="宋体" w:hAnsi="宋体" w:cs="宋体"/>
          <w:b/>
          <w:bCs/>
          <w:color w:val="000000"/>
          <w:sz w:val="24"/>
        </w:rPr>
      </w:pPr>
      <w:r>
        <w:rPr>
          <w:rFonts w:hint="eastAsia" w:ascii="宋体" w:hAnsi="宋体" w:cs="宋体"/>
          <w:b/>
          <w:bCs/>
          <w:szCs w:val="21"/>
        </w:rPr>
        <w:t xml:space="preserve">                                               日期：_____年____月____日</w:t>
      </w:r>
      <w:r>
        <w:rPr>
          <w:rFonts w:ascii="宋体" w:hAnsi="宋体" w:cs="宋体"/>
          <w:b/>
          <w:bCs/>
          <w:color w:val="000000"/>
          <w:sz w:val="24"/>
        </w:rPr>
        <w:br w:type="page"/>
      </w:r>
    </w:p>
    <w:p>
      <w:pPr>
        <w:pStyle w:val="6"/>
        <w:jc w:val="center"/>
        <w:rPr>
          <w:rFonts w:hAnsi="宋体" w:cs="宋体"/>
          <w:color w:val="000000"/>
          <w:bdr w:val="single" w:color="auto" w:sz="4" w:space="0"/>
        </w:rPr>
      </w:pPr>
      <w:bookmarkStart w:id="128" w:name="_Toc22851"/>
      <w:r>
        <w:rPr>
          <w:rFonts w:hint="eastAsia" w:hAnsi="宋体" w:cs="宋体"/>
          <w:color w:val="000000"/>
        </w:rPr>
        <w:t>六、谈判证明</w:t>
      </w:r>
      <w:bookmarkEnd w:id="127"/>
      <w:bookmarkEnd w:id="128"/>
      <w:r>
        <w:rPr>
          <w:rFonts w:hint="eastAsia" w:hAnsi="宋体" w:cs="宋体"/>
          <w:color w:val="000000"/>
        </w:rPr>
        <w:t>材料</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1、营业执照；</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2、税务登记证；</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（如为三证合一的，只需提供三证合一的营业执照）</w:t>
      </w:r>
    </w:p>
    <w:p>
      <w:pPr>
        <w:spacing w:line="360" w:lineRule="auto"/>
        <w:ind w:left="422"/>
        <w:rPr>
          <w:rFonts w:ascii="宋体" w:hAnsi="宋体"/>
          <w:szCs w:val="21"/>
        </w:rPr>
      </w:pPr>
      <w:r>
        <w:rPr>
          <w:rFonts w:hint="eastAsia" w:ascii="宋体" w:hAnsi="宋体"/>
          <w:szCs w:val="21"/>
        </w:rPr>
        <w:t>3、供应商声明函：</w:t>
      </w:r>
    </w:p>
    <w:p>
      <w:pPr>
        <w:spacing w:line="360" w:lineRule="auto"/>
        <w:ind w:left="422"/>
        <w:jc w:val="center"/>
        <w:rPr>
          <w:rFonts w:ascii="宋体" w:hAnsi="宋体"/>
          <w:b/>
          <w:bCs/>
          <w:szCs w:val="21"/>
        </w:rPr>
      </w:pPr>
      <w:r>
        <w:rPr>
          <w:rFonts w:hint="eastAsia" w:ascii="宋体" w:hAnsi="宋体"/>
          <w:b/>
          <w:bCs/>
          <w:szCs w:val="21"/>
        </w:rPr>
        <w:t>供应商声明函</w:t>
      </w:r>
    </w:p>
    <w:p>
      <w:pPr>
        <w:spacing w:line="360" w:lineRule="auto"/>
        <w:ind w:firstLine="420" w:firstLineChars="200"/>
        <w:rPr>
          <w:rFonts w:ascii="宋体" w:hAnsi="宋体"/>
          <w:szCs w:val="21"/>
        </w:rPr>
      </w:pPr>
      <w:r>
        <w:rPr>
          <w:rFonts w:hint="eastAsia" w:ascii="宋体" w:hAnsi="宋体"/>
          <w:szCs w:val="21"/>
        </w:rPr>
        <w:t xml:space="preserve">根据《中华人民共和国政府采购法》及《中华人民共和国政府采购法实施条例》 的规定，本单位郑重声明：                                                   </w:t>
      </w:r>
    </w:p>
    <w:p>
      <w:pPr>
        <w:spacing w:line="360" w:lineRule="auto"/>
        <w:ind w:firstLine="420" w:firstLineChars="200"/>
        <w:rPr>
          <w:rFonts w:ascii="宋体" w:hAnsi="宋体"/>
          <w:szCs w:val="21"/>
        </w:rPr>
      </w:pPr>
      <w:r>
        <w:rPr>
          <w:rFonts w:hint="eastAsia" w:ascii="宋体" w:hAnsi="宋体"/>
          <w:szCs w:val="21"/>
        </w:rPr>
        <w:t xml:space="preserve">我单位完全符合《中华人民共和国政府采购法》第二十二条规定及本项目所要求的资格条件：              </w:t>
      </w:r>
    </w:p>
    <w:p>
      <w:pPr>
        <w:spacing w:line="360" w:lineRule="auto"/>
        <w:ind w:firstLine="420" w:firstLineChars="200"/>
        <w:rPr>
          <w:rFonts w:ascii="宋体" w:hAnsi="宋体"/>
          <w:szCs w:val="21"/>
        </w:rPr>
      </w:pPr>
      <w:r>
        <w:rPr>
          <w:rFonts w:hint="eastAsia" w:ascii="宋体" w:hAnsi="宋体"/>
          <w:szCs w:val="21"/>
        </w:rPr>
        <w:t xml:space="preserve">（1）具有独立承担民事责任的能力；                                          </w:t>
      </w:r>
    </w:p>
    <w:p>
      <w:pPr>
        <w:spacing w:line="360" w:lineRule="auto"/>
        <w:ind w:firstLine="420" w:firstLineChars="200"/>
        <w:rPr>
          <w:rFonts w:ascii="宋体" w:hAnsi="宋体"/>
          <w:szCs w:val="21"/>
        </w:rPr>
      </w:pPr>
      <w:r>
        <w:rPr>
          <w:rFonts w:hint="eastAsia" w:ascii="宋体" w:hAnsi="宋体"/>
          <w:szCs w:val="21"/>
        </w:rPr>
        <w:t xml:space="preserve">（2）具有良好的商业信誉和健全的财务会计制度；                              </w:t>
      </w:r>
    </w:p>
    <w:p>
      <w:pPr>
        <w:spacing w:line="360" w:lineRule="auto"/>
        <w:ind w:firstLine="420" w:firstLineChars="200"/>
        <w:rPr>
          <w:rFonts w:ascii="宋体" w:hAnsi="宋体"/>
          <w:szCs w:val="21"/>
        </w:rPr>
      </w:pPr>
      <w:r>
        <w:rPr>
          <w:rFonts w:hint="eastAsia" w:ascii="宋体" w:hAnsi="宋体"/>
          <w:szCs w:val="21"/>
        </w:rPr>
        <w:t xml:space="preserve">（3）具有履行合同所必需的设备和专业技术能力；                              </w:t>
      </w:r>
    </w:p>
    <w:p>
      <w:pPr>
        <w:spacing w:line="360" w:lineRule="auto"/>
        <w:ind w:firstLine="420" w:firstLineChars="200"/>
        <w:rPr>
          <w:rFonts w:ascii="宋体" w:hAnsi="宋体"/>
          <w:szCs w:val="21"/>
        </w:rPr>
      </w:pPr>
      <w:r>
        <w:rPr>
          <w:rFonts w:hint="eastAsia" w:ascii="宋体" w:hAnsi="宋体"/>
          <w:szCs w:val="21"/>
        </w:rPr>
        <w:t xml:space="preserve">（4）有依法缴纳税收和社会保障资金的良好记录；                              </w:t>
      </w:r>
    </w:p>
    <w:p>
      <w:pPr>
        <w:spacing w:line="360" w:lineRule="auto"/>
        <w:ind w:firstLine="420" w:firstLineChars="200"/>
        <w:rPr>
          <w:rFonts w:ascii="宋体" w:hAnsi="宋体"/>
          <w:szCs w:val="21"/>
        </w:rPr>
      </w:pPr>
      <w:r>
        <w:rPr>
          <w:rFonts w:hint="eastAsia" w:ascii="宋体" w:hAnsi="宋体"/>
          <w:szCs w:val="21"/>
        </w:rPr>
        <w:t xml:space="preserve">（5）参加政府采购活动前三年内，在经营活动中没有重大违法记录，包括：我单位因违法经营受到刑事处罚或者责令停产停业、吊销许可证或者执照、较大数额罚款等行政处罚；   </w:t>
      </w:r>
    </w:p>
    <w:p>
      <w:pPr>
        <w:spacing w:line="360" w:lineRule="auto"/>
        <w:ind w:firstLine="420" w:firstLineChars="200"/>
        <w:rPr>
          <w:rFonts w:ascii="宋体" w:hAnsi="宋体"/>
          <w:szCs w:val="21"/>
        </w:rPr>
      </w:pPr>
      <w:r>
        <w:rPr>
          <w:rFonts w:hint="eastAsia" w:ascii="宋体" w:hAnsi="宋体"/>
          <w:szCs w:val="21"/>
        </w:rPr>
        <w:t xml:space="preserve">（6）我单位不在财政部门依法作出的禁止参加政府采购活动的行政处罚期限内；                       </w:t>
      </w:r>
    </w:p>
    <w:p>
      <w:pPr>
        <w:spacing w:line="360" w:lineRule="auto"/>
        <w:ind w:firstLine="420" w:firstLineChars="200"/>
        <w:rPr>
          <w:rFonts w:ascii="宋体" w:hAnsi="宋体"/>
          <w:szCs w:val="21"/>
        </w:rPr>
      </w:pPr>
      <w:r>
        <w:rPr>
          <w:rFonts w:hint="eastAsia" w:ascii="宋体" w:hAnsi="宋体"/>
          <w:szCs w:val="21"/>
        </w:rPr>
        <w:t xml:space="preserve">（7）符合法律、行政法规规定的其他条件。                                    </w:t>
      </w:r>
    </w:p>
    <w:p>
      <w:pPr>
        <w:spacing w:line="360" w:lineRule="auto"/>
        <w:ind w:firstLine="420" w:firstLineChars="200"/>
        <w:rPr>
          <w:rFonts w:ascii="宋体" w:hAnsi="宋体"/>
          <w:szCs w:val="21"/>
        </w:rPr>
      </w:pPr>
      <w:r>
        <w:rPr>
          <w:rFonts w:hint="eastAsia" w:ascii="宋体" w:hAnsi="宋体"/>
          <w:szCs w:val="21"/>
        </w:rPr>
        <w:t>我单位承诺：合同签订前，若我单位不符合《中华人民共和国政府采购法》第二十二条规定及本项目所要求的资格条件，贵方可取消我单位成交资格或者不授予合同，所有责任由我单位自行承担。同时， 我单位愿意无条件接受监管部门的调查处理。</w:t>
      </w:r>
    </w:p>
    <w:p>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pPr>
        <w:spacing w:line="360" w:lineRule="auto"/>
        <w:ind w:left="422"/>
        <w:rPr>
          <w:rFonts w:ascii="宋体" w:hAnsi="宋体"/>
          <w:szCs w:val="21"/>
        </w:rPr>
      </w:pPr>
    </w:p>
    <w:p>
      <w:pPr>
        <w:spacing w:line="360" w:lineRule="auto"/>
        <w:ind w:left="422"/>
        <w:rPr>
          <w:rFonts w:ascii="宋体" w:hAnsi="宋体"/>
          <w:szCs w:val="21"/>
        </w:rPr>
      </w:pPr>
    </w:p>
    <w:p>
      <w:pPr>
        <w:spacing w:line="360" w:lineRule="auto"/>
        <w:ind w:firstLine="420" w:firstLineChars="200"/>
        <w:jc w:val="right"/>
        <w:rPr>
          <w:rFonts w:ascii="宋体" w:hAnsi="宋体"/>
          <w:szCs w:val="21"/>
        </w:rPr>
      </w:pPr>
      <w:r>
        <w:rPr>
          <w:rFonts w:hint="eastAsia" w:ascii="宋体" w:hAnsi="宋体"/>
          <w:szCs w:val="21"/>
        </w:rPr>
        <w:t xml:space="preserve">供应商公章：_______________________                                           </w:t>
      </w:r>
    </w:p>
    <w:p>
      <w:pPr>
        <w:spacing w:line="360" w:lineRule="auto"/>
        <w:jc w:val="center"/>
        <w:outlineLvl w:val="2"/>
        <w:rPr>
          <w:rFonts w:asciiTheme="minorEastAsia" w:hAnsiTheme="minorEastAsia" w:eastAsiaTheme="minorEastAsia"/>
          <w:b/>
          <w:sz w:val="24"/>
        </w:rPr>
      </w:pPr>
      <w:r>
        <w:rPr>
          <w:rFonts w:hint="eastAsia" w:hAnsi="宋体"/>
          <w:szCs w:val="21"/>
        </w:rPr>
        <w:t xml:space="preserve">               </w:t>
      </w:r>
      <w:r>
        <w:rPr>
          <w:rFonts w:hAnsi="宋体"/>
          <w:szCs w:val="21"/>
        </w:rPr>
        <w:t xml:space="preserve">                                 </w:t>
      </w:r>
      <w:r>
        <w:rPr>
          <w:rFonts w:hint="eastAsia" w:hAnsi="宋体"/>
          <w:szCs w:val="21"/>
        </w:rPr>
        <w:t xml:space="preserve"> 日期：       年     月     日</w:t>
      </w: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r>
        <w:rPr>
          <w:rFonts w:hint="eastAsia" w:ascii="宋体" w:hAnsi="宋体" w:cs="宋体"/>
          <w:color w:val="000000"/>
          <w:szCs w:val="21"/>
        </w:rPr>
        <w:t>4、法定代表人身份证明书（格式见附件）及其有效二代居民身份证；</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5、法定代表人授权委托书（格式见附件）及其委托代理人有效二代居民身份证，若法定代表人参与谈判则不需此件；</w:t>
      </w:r>
    </w:p>
    <w:p>
      <w:pPr>
        <w:spacing w:line="360" w:lineRule="auto"/>
        <w:ind w:firstLine="420" w:firstLineChars="200"/>
        <w:rPr>
          <w:rFonts w:ascii="宋体" w:hAnsi="宋体"/>
          <w:szCs w:val="21"/>
        </w:rPr>
      </w:pPr>
      <w:r>
        <w:rPr>
          <w:rFonts w:hint="eastAsia" w:ascii="宋体" w:hAnsi="宋体"/>
          <w:szCs w:val="21"/>
        </w:rPr>
        <w:t>银行、保险、石油化工、电力、电信等特殊行业的分公司取得总公司相关授权的，</w:t>
      </w:r>
      <w:r>
        <w:rPr>
          <w:rFonts w:hint="eastAsia" w:ascii="宋体" w:hAnsi="宋体" w:cs="宋体"/>
          <w:color w:val="000000"/>
          <w:szCs w:val="21"/>
        </w:rPr>
        <w:t>谈判</w:t>
      </w:r>
      <w:r>
        <w:rPr>
          <w:rFonts w:hint="eastAsia" w:ascii="宋体" w:hAnsi="宋体"/>
          <w:szCs w:val="21"/>
        </w:rPr>
        <w:t>文件中关于法定代表人的要求事项可由分公司负责人代理。负责人身份证明书及负责人授权委托书（格式见附件）。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6、履行合同所必需的设备专业技术能力证明文件 (</w:t>
      </w:r>
      <w:r>
        <w:rPr>
          <w:rFonts w:hint="eastAsia" w:ascii="宋体" w:hAnsi="宋体"/>
          <w:szCs w:val="21"/>
        </w:rPr>
        <w:t>根据项目需要可</w:t>
      </w:r>
      <w:r>
        <w:rPr>
          <w:rFonts w:hint="eastAsia" w:ascii="宋体" w:hAnsi="宋体"/>
          <w:szCs w:val="21"/>
          <w:lang w:val="en-US" w:eastAsia="zh-CN"/>
        </w:rPr>
        <w:t>自行选择是否</w:t>
      </w:r>
      <w:r>
        <w:rPr>
          <w:rFonts w:hint="eastAsia" w:ascii="宋体" w:hAnsi="宋体"/>
          <w:szCs w:val="21"/>
        </w:rPr>
        <w:t>填写</w:t>
      </w:r>
      <w:r>
        <w:rPr>
          <w:rFonts w:hint="eastAsia" w:ascii="宋体" w:hAnsi="宋体" w:cs="宋体"/>
          <w:color w:val="000000"/>
          <w:szCs w:val="21"/>
        </w:rPr>
        <w:t>)；</w:t>
      </w:r>
    </w:p>
    <w:p>
      <w:pPr>
        <w:spacing w:line="360" w:lineRule="auto"/>
        <w:rPr>
          <w:rFonts w:ascii="宋体" w:hAnsi="宋体" w:cs="宋体"/>
          <w:color w:val="000000"/>
          <w:szCs w:val="21"/>
        </w:rPr>
      </w:pPr>
      <w:r>
        <w:rPr>
          <w:rFonts w:hint="eastAsia" w:ascii="宋体" w:hAnsi="宋体" w:cs="宋体"/>
          <w:color w:val="000000"/>
          <w:szCs w:val="21"/>
        </w:rPr>
        <w:t>（1）服务于本项目的专业设备一览表</w:t>
      </w:r>
    </w:p>
    <w:tbl>
      <w:tblPr>
        <w:tblStyle w:val="23"/>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292"/>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2292"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设备名称</w:t>
            </w:r>
          </w:p>
        </w:tc>
        <w:tc>
          <w:tcPr>
            <w:tcW w:w="1453"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购入时间</w:t>
            </w:r>
          </w:p>
        </w:tc>
        <w:tc>
          <w:tcPr>
            <w:tcW w:w="93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价值</w:t>
            </w:r>
          </w:p>
        </w:tc>
        <w:tc>
          <w:tcPr>
            <w:tcW w:w="878"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数量</w:t>
            </w:r>
          </w:p>
        </w:tc>
        <w:tc>
          <w:tcPr>
            <w:tcW w:w="1495"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生产厂家</w:t>
            </w:r>
          </w:p>
        </w:tc>
        <w:tc>
          <w:tcPr>
            <w:tcW w:w="150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000000"/>
                <w:szCs w:val="21"/>
              </w:rPr>
            </w:pPr>
          </w:p>
        </w:tc>
        <w:tc>
          <w:tcPr>
            <w:tcW w:w="2292" w:type="dxa"/>
            <w:vAlign w:val="center"/>
          </w:tcPr>
          <w:p>
            <w:pPr>
              <w:spacing w:line="360" w:lineRule="auto"/>
              <w:ind w:firstLine="420" w:firstLineChars="200"/>
              <w:rPr>
                <w:rFonts w:ascii="宋体" w:hAnsi="宋体" w:cs="宋体"/>
                <w:color w:val="000000"/>
                <w:szCs w:val="21"/>
              </w:rPr>
            </w:pPr>
          </w:p>
        </w:tc>
        <w:tc>
          <w:tcPr>
            <w:tcW w:w="1453" w:type="dxa"/>
            <w:vAlign w:val="center"/>
          </w:tcPr>
          <w:p>
            <w:pPr>
              <w:spacing w:line="360" w:lineRule="auto"/>
              <w:ind w:firstLine="420" w:firstLineChars="200"/>
              <w:rPr>
                <w:rFonts w:ascii="宋体" w:hAnsi="宋体" w:cs="宋体"/>
                <w:color w:val="000000"/>
                <w:szCs w:val="21"/>
              </w:rPr>
            </w:pPr>
          </w:p>
        </w:tc>
        <w:tc>
          <w:tcPr>
            <w:tcW w:w="934" w:type="dxa"/>
            <w:vAlign w:val="center"/>
          </w:tcPr>
          <w:p>
            <w:pPr>
              <w:spacing w:line="360" w:lineRule="auto"/>
              <w:ind w:firstLine="420" w:firstLineChars="200"/>
              <w:rPr>
                <w:rFonts w:ascii="宋体" w:hAnsi="宋体" w:cs="宋体"/>
                <w:color w:val="000000"/>
                <w:szCs w:val="21"/>
              </w:rPr>
            </w:pPr>
          </w:p>
        </w:tc>
        <w:tc>
          <w:tcPr>
            <w:tcW w:w="878" w:type="dxa"/>
            <w:vAlign w:val="center"/>
          </w:tcPr>
          <w:p>
            <w:pPr>
              <w:spacing w:line="360" w:lineRule="auto"/>
              <w:ind w:firstLine="420" w:firstLineChars="200"/>
              <w:rPr>
                <w:rFonts w:ascii="宋体" w:hAnsi="宋体" w:cs="宋体"/>
                <w:color w:val="000000"/>
                <w:szCs w:val="21"/>
              </w:rPr>
            </w:pPr>
          </w:p>
        </w:tc>
        <w:tc>
          <w:tcPr>
            <w:tcW w:w="1495" w:type="dxa"/>
            <w:vAlign w:val="center"/>
          </w:tcPr>
          <w:p>
            <w:pPr>
              <w:spacing w:line="360" w:lineRule="auto"/>
              <w:ind w:firstLine="420" w:firstLineChars="200"/>
              <w:rPr>
                <w:rFonts w:ascii="宋体" w:hAnsi="宋体" w:cs="宋体"/>
                <w:color w:val="000000"/>
                <w:szCs w:val="21"/>
              </w:rPr>
            </w:pPr>
          </w:p>
        </w:tc>
        <w:tc>
          <w:tcPr>
            <w:tcW w:w="1504" w:type="dxa"/>
            <w:vAlign w:val="center"/>
          </w:tcPr>
          <w:p>
            <w:pPr>
              <w:spacing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000000"/>
                <w:szCs w:val="21"/>
              </w:rPr>
            </w:pPr>
          </w:p>
        </w:tc>
        <w:tc>
          <w:tcPr>
            <w:tcW w:w="2292" w:type="dxa"/>
            <w:vAlign w:val="center"/>
          </w:tcPr>
          <w:p>
            <w:pPr>
              <w:spacing w:line="360" w:lineRule="auto"/>
              <w:rPr>
                <w:rFonts w:ascii="宋体" w:hAnsi="宋体" w:cs="宋体"/>
                <w:color w:val="000000"/>
                <w:szCs w:val="21"/>
              </w:rPr>
            </w:pPr>
            <w:r>
              <w:rPr>
                <w:rFonts w:hint="eastAsia" w:ascii="宋体" w:hAnsi="宋体" w:cs="宋体"/>
                <w:color w:val="000000"/>
                <w:szCs w:val="21"/>
              </w:rPr>
              <w:t xml:space="preserve">    </w:t>
            </w:r>
          </w:p>
        </w:tc>
        <w:tc>
          <w:tcPr>
            <w:tcW w:w="1453" w:type="dxa"/>
            <w:vAlign w:val="center"/>
          </w:tcPr>
          <w:p>
            <w:pPr>
              <w:spacing w:line="360" w:lineRule="auto"/>
              <w:ind w:firstLine="420" w:firstLineChars="200"/>
              <w:rPr>
                <w:rFonts w:ascii="宋体" w:hAnsi="宋体" w:cs="宋体"/>
                <w:color w:val="000000"/>
                <w:szCs w:val="21"/>
              </w:rPr>
            </w:pPr>
          </w:p>
        </w:tc>
        <w:tc>
          <w:tcPr>
            <w:tcW w:w="934" w:type="dxa"/>
            <w:vAlign w:val="center"/>
          </w:tcPr>
          <w:p>
            <w:pPr>
              <w:spacing w:line="360" w:lineRule="auto"/>
              <w:ind w:firstLine="420" w:firstLineChars="200"/>
              <w:rPr>
                <w:rFonts w:ascii="宋体" w:hAnsi="宋体" w:cs="宋体"/>
                <w:color w:val="000000"/>
                <w:szCs w:val="21"/>
              </w:rPr>
            </w:pPr>
          </w:p>
        </w:tc>
        <w:tc>
          <w:tcPr>
            <w:tcW w:w="878" w:type="dxa"/>
            <w:vAlign w:val="center"/>
          </w:tcPr>
          <w:p>
            <w:pPr>
              <w:spacing w:line="360" w:lineRule="auto"/>
              <w:ind w:firstLine="420" w:firstLineChars="200"/>
              <w:rPr>
                <w:rFonts w:ascii="宋体" w:hAnsi="宋体" w:cs="宋体"/>
                <w:color w:val="000000"/>
                <w:szCs w:val="21"/>
              </w:rPr>
            </w:pPr>
          </w:p>
        </w:tc>
        <w:tc>
          <w:tcPr>
            <w:tcW w:w="1495" w:type="dxa"/>
            <w:vAlign w:val="center"/>
          </w:tcPr>
          <w:p>
            <w:pPr>
              <w:spacing w:line="360" w:lineRule="auto"/>
              <w:ind w:firstLine="420" w:firstLineChars="200"/>
              <w:rPr>
                <w:rFonts w:ascii="宋体" w:hAnsi="宋体" w:cs="宋体"/>
                <w:color w:val="000000"/>
                <w:szCs w:val="21"/>
              </w:rPr>
            </w:pPr>
          </w:p>
        </w:tc>
        <w:tc>
          <w:tcPr>
            <w:tcW w:w="1504" w:type="dxa"/>
            <w:vAlign w:val="center"/>
          </w:tcPr>
          <w:p>
            <w:pPr>
              <w:spacing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000000"/>
                <w:szCs w:val="21"/>
              </w:rPr>
            </w:pPr>
          </w:p>
        </w:tc>
        <w:tc>
          <w:tcPr>
            <w:tcW w:w="2292" w:type="dxa"/>
            <w:vAlign w:val="center"/>
          </w:tcPr>
          <w:p>
            <w:pPr>
              <w:spacing w:line="360" w:lineRule="auto"/>
              <w:ind w:firstLine="420" w:firstLineChars="200"/>
              <w:rPr>
                <w:rFonts w:ascii="宋体" w:hAnsi="宋体" w:cs="宋体"/>
                <w:color w:val="000000"/>
                <w:szCs w:val="21"/>
              </w:rPr>
            </w:pPr>
          </w:p>
        </w:tc>
        <w:tc>
          <w:tcPr>
            <w:tcW w:w="1453" w:type="dxa"/>
            <w:vAlign w:val="center"/>
          </w:tcPr>
          <w:p>
            <w:pPr>
              <w:spacing w:line="360" w:lineRule="auto"/>
              <w:ind w:firstLine="420" w:firstLineChars="200"/>
              <w:rPr>
                <w:rFonts w:ascii="宋体" w:hAnsi="宋体" w:cs="宋体"/>
                <w:color w:val="000000"/>
                <w:szCs w:val="21"/>
              </w:rPr>
            </w:pPr>
          </w:p>
        </w:tc>
        <w:tc>
          <w:tcPr>
            <w:tcW w:w="934" w:type="dxa"/>
            <w:vAlign w:val="center"/>
          </w:tcPr>
          <w:p>
            <w:pPr>
              <w:spacing w:line="360" w:lineRule="auto"/>
              <w:ind w:firstLine="420" w:firstLineChars="200"/>
              <w:rPr>
                <w:rFonts w:ascii="宋体" w:hAnsi="宋体" w:cs="宋体"/>
                <w:color w:val="000000"/>
                <w:szCs w:val="21"/>
              </w:rPr>
            </w:pPr>
          </w:p>
        </w:tc>
        <w:tc>
          <w:tcPr>
            <w:tcW w:w="878" w:type="dxa"/>
            <w:vAlign w:val="center"/>
          </w:tcPr>
          <w:p>
            <w:pPr>
              <w:spacing w:line="360" w:lineRule="auto"/>
              <w:ind w:firstLine="420" w:firstLineChars="200"/>
              <w:rPr>
                <w:rFonts w:ascii="宋体" w:hAnsi="宋体" w:cs="宋体"/>
                <w:color w:val="000000"/>
                <w:szCs w:val="21"/>
              </w:rPr>
            </w:pPr>
          </w:p>
        </w:tc>
        <w:tc>
          <w:tcPr>
            <w:tcW w:w="1495" w:type="dxa"/>
            <w:vAlign w:val="center"/>
          </w:tcPr>
          <w:p>
            <w:pPr>
              <w:spacing w:line="360" w:lineRule="auto"/>
              <w:ind w:firstLine="420" w:firstLineChars="200"/>
              <w:rPr>
                <w:rFonts w:ascii="宋体" w:hAnsi="宋体" w:cs="宋体"/>
                <w:color w:val="000000"/>
                <w:szCs w:val="21"/>
              </w:rPr>
            </w:pPr>
          </w:p>
        </w:tc>
        <w:tc>
          <w:tcPr>
            <w:tcW w:w="1504" w:type="dxa"/>
            <w:vAlign w:val="center"/>
          </w:tcPr>
          <w:p>
            <w:pPr>
              <w:spacing w:line="360" w:lineRule="auto"/>
              <w:ind w:firstLine="420" w:firstLineChars="200"/>
              <w:rPr>
                <w:rFonts w:ascii="宋体" w:hAnsi="宋体" w:cs="宋体"/>
                <w:color w:val="000000"/>
                <w:szCs w:val="21"/>
              </w:rPr>
            </w:pPr>
          </w:p>
        </w:tc>
      </w:tr>
    </w:tbl>
    <w:p>
      <w:pPr>
        <w:spacing w:line="360" w:lineRule="auto"/>
        <w:rPr>
          <w:rFonts w:ascii="宋体" w:hAnsi="宋体" w:cs="宋体"/>
          <w:color w:val="000000"/>
          <w:szCs w:val="21"/>
        </w:rPr>
      </w:pPr>
      <w:r>
        <w:rPr>
          <w:rFonts w:hint="eastAsia" w:ascii="宋体" w:hAnsi="宋体" w:cs="宋体"/>
          <w:color w:val="000000"/>
          <w:szCs w:val="21"/>
        </w:rPr>
        <w:t>（2）服务本项目人员一览表</w:t>
      </w:r>
    </w:p>
    <w:tbl>
      <w:tblPr>
        <w:tblStyle w:val="23"/>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87"/>
        <w:gridCol w:w="1185"/>
        <w:gridCol w:w="1185"/>
        <w:gridCol w:w="1974"/>
        <w:gridCol w:w="987"/>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类别</w:t>
            </w:r>
          </w:p>
        </w:tc>
        <w:tc>
          <w:tcPr>
            <w:tcW w:w="1187"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姓名</w:t>
            </w:r>
          </w:p>
        </w:tc>
        <w:tc>
          <w:tcPr>
            <w:tcW w:w="1185"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职务</w:t>
            </w:r>
          </w:p>
        </w:tc>
        <w:tc>
          <w:tcPr>
            <w:tcW w:w="1185"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职称</w:t>
            </w:r>
          </w:p>
        </w:tc>
        <w:tc>
          <w:tcPr>
            <w:tcW w:w="1974"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手机号</w:t>
            </w:r>
          </w:p>
        </w:tc>
        <w:tc>
          <w:tcPr>
            <w:tcW w:w="2961" w:type="dxa"/>
            <w:gridSpan w:val="2"/>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1187"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1974"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987" w:type="dxa"/>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名称</w:t>
            </w:r>
          </w:p>
        </w:tc>
        <w:tc>
          <w:tcPr>
            <w:tcW w:w="1974" w:type="dxa"/>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000000"/>
                <w:szCs w:val="21"/>
              </w:rPr>
            </w:pPr>
            <w:r>
              <w:rPr>
                <w:rFonts w:hint="eastAsia" w:ascii="宋体" w:hAnsi="宋体" w:cs="宋体"/>
                <w:color w:val="000000"/>
                <w:szCs w:val="21"/>
              </w:rPr>
              <w:t>管理人员</w:t>
            </w: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000000"/>
                <w:szCs w:val="21"/>
              </w:rPr>
            </w:pPr>
            <w:r>
              <w:rPr>
                <w:rFonts w:hint="eastAsia" w:ascii="宋体" w:hAnsi="宋体" w:cs="宋体"/>
                <w:color w:val="000000"/>
                <w:szCs w:val="21"/>
              </w:rPr>
              <w:t>技术人员</w:t>
            </w: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10" w:type="dxa"/>
            <w:vMerge w:val="restart"/>
            <w:textDirection w:val="tbRlV"/>
            <w:vAlign w:val="center"/>
          </w:tcPr>
          <w:p>
            <w:pPr>
              <w:spacing w:before="100" w:beforeAutospacing="1" w:after="100" w:afterAutospacing="1" w:line="360" w:lineRule="auto"/>
              <w:ind w:firstLine="420" w:firstLineChars="200"/>
              <w:jc w:val="center"/>
              <w:rPr>
                <w:rFonts w:ascii="宋体" w:hAnsi="宋体" w:cs="宋体"/>
                <w:color w:val="000000"/>
                <w:szCs w:val="21"/>
              </w:rPr>
            </w:pPr>
            <w:r>
              <w:rPr>
                <w:rFonts w:hint="eastAsia" w:ascii="宋体" w:hAnsi="宋体" w:cs="宋体"/>
                <w:color w:val="000000"/>
                <w:szCs w:val="21"/>
              </w:rPr>
              <w:t>其他</w:t>
            </w: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extDirection w:val="tbRlV"/>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bl>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r>
        <w:rPr>
          <w:rFonts w:hint="eastAsia" w:ascii="宋体" w:hAnsi="宋体" w:cs="宋体"/>
          <w:color w:val="000000"/>
          <w:szCs w:val="21"/>
        </w:rPr>
        <w:t>7、本项目竞争性谈判文件中要求谈判响应人提供的其他证明材料。</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8、须提供上述证明材料复印件或扫描件或影印件。</w:t>
      </w:r>
    </w:p>
    <w:p>
      <w:pPr>
        <w:pStyle w:val="16"/>
        <w:rPr>
          <w:rFonts w:ascii="宋体" w:hAnsi="宋体" w:cs="宋体"/>
          <w:color w:val="000000"/>
          <w:szCs w:val="21"/>
        </w:rPr>
      </w:pPr>
    </w:p>
    <w:p>
      <w:pPr>
        <w:pStyle w:val="16"/>
        <w:rPr>
          <w:rFonts w:ascii="宋体" w:hAnsi="宋体" w:cs="宋体"/>
          <w:color w:val="000000"/>
          <w:szCs w:val="21"/>
        </w:rPr>
      </w:pPr>
    </w:p>
    <w:p>
      <w:pPr>
        <w:spacing w:line="360" w:lineRule="auto"/>
        <w:jc w:val="left"/>
        <w:rPr>
          <w:rFonts w:hint="eastAsia" w:ascii="宋体" w:hAnsi="宋体" w:cs="宋体"/>
          <w:b/>
          <w:color w:val="000000"/>
          <w:sz w:val="24"/>
        </w:rPr>
      </w:pPr>
    </w:p>
    <w:p>
      <w:pPr>
        <w:spacing w:line="360" w:lineRule="auto"/>
        <w:jc w:val="left"/>
        <w:rPr>
          <w:rFonts w:hint="eastAsia" w:ascii="宋体" w:hAnsi="宋体" w:cs="宋体"/>
          <w:b/>
          <w:color w:val="000000"/>
          <w:sz w:val="24"/>
        </w:rPr>
      </w:pPr>
    </w:p>
    <w:p>
      <w:pPr>
        <w:spacing w:line="360" w:lineRule="auto"/>
        <w:jc w:val="left"/>
        <w:rPr>
          <w:rFonts w:ascii="宋体" w:hAnsi="宋体" w:cs="宋体"/>
          <w:b/>
          <w:color w:val="000000"/>
          <w:sz w:val="24"/>
        </w:rPr>
      </w:pPr>
      <w:r>
        <w:rPr>
          <w:rFonts w:hint="eastAsia" w:ascii="宋体" w:hAnsi="宋体" w:cs="宋体"/>
          <w:b/>
          <w:color w:val="000000"/>
          <w:sz w:val="24"/>
        </w:rPr>
        <w:t>附 件：</w:t>
      </w:r>
    </w:p>
    <w:p>
      <w:pPr>
        <w:spacing w:line="360" w:lineRule="auto"/>
        <w:ind w:firstLine="413" w:firstLineChars="196"/>
        <w:jc w:val="center"/>
        <w:rPr>
          <w:rFonts w:ascii="宋体" w:hAnsi="宋体" w:cs="宋体"/>
          <w:b/>
          <w:bCs/>
          <w:color w:val="000000"/>
          <w:szCs w:val="21"/>
        </w:rPr>
      </w:pPr>
      <w:r>
        <w:rPr>
          <w:rFonts w:hint="eastAsia" w:ascii="宋体" w:hAnsi="宋体" w:cs="宋体"/>
          <w:b/>
          <w:bCs/>
          <w:color w:val="000000"/>
          <w:szCs w:val="21"/>
        </w:rPr>
        <w:t>法定代表人身份证明书</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谈判响应人名称：</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单位性质：</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地址：</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成立时间：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经营期限：</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姓名：</w:t>
      </w:r>
      <w:r>
        <w:rPr>
          <w:rFonts w:hint="eastAsia" w:ascii="宋体" w:hAnsi="宋体" w:cs="宋体"/>
          <w:color w:val="000000"/>
          <w:szCs w:val="21"/>
          <w:u w:val="single"/>
        </w:rPr>
        <w:t xml:space="preserve">             </w:t>
      </w:r>
      <w:r>
        <w:rPr>
          <w:rFonts w:hint="eastAsia" w:ascii="宋体" w:hAnsi="宋体" w:cs="宋体"/>
          <w:color w:val="000000"/>
          <w:szCs w:val="21"/>
        </w:rPr>
        <w:t>性别：</w:t>
      </w:r>
      <w:r>
        <w:rPr>
          <w:rFonts w:hint="eastAsia" w:ascii="宋体" w:hAnsi="宋体" w:cs="宋体"/>
          <w:color w:val="000000"/>
          <w:szCs w:val="21"/>
          <w:u w:val="single"/>
        </w:rPr>
        <w:t xml:space="preserve">         </w:t>
      </w:r>
      <w:r>
        <w:rPr>
          <w:rFonts w:hint="eastAsia" w:ascii="宋体" w:hAnsi="宋体" w:cs="宋体"/>
          <w:color w:val="000000"/>
          <w:szCs w:val="21"/>
        </w:rPr>
        <w:t>年龄：</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系</w:t>
      </w:r>
      <w:r>
        <w:rPr>
          <w:rFonts w:hint="eastAsia" w:ascii="宋体" w:hAnsi="宋体" w:cs="宋体"/>
          <w:color w:val="000000"/>
          <w:szCs w:val="21"/>
          <w:u w:val="single"/>
        </w:rPr>
        <w:t xml:space="preserve">                          </w:t>
      </w:r>
      <w:r>
        <w:rPr>
          <w:rFonts w:hint="eastAsia" w:ascii="宋体" w:hAnsi="宋体" w:cs="宋体"/>
          <w:color w:val="000000"/>
          <w:szCs w:val="21"/>
        </w:rPr>
        <w:t>（谈判响应人名称）的法定代表人。</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20" w:firstLineChars="200"/>
        <w:rPr>
          <w:rFonts w:ascii="宋体" w:hAnsi="宋体" w:cs="宋体"/>
          <w:color w:val="000000"/>
          <w:szCs w:val="21"/>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11" w:firstLineChars="196"/>
        <w:rPr>
          <w:rFonts w:ascii="宋体" w:hAnsi="宋体" w:cs="宋体"/>
          <w:color w:val="000000"/>
          <w:szCs w:val="21"/>
        </w:rPr>
      </w:pPr>
      <w:r>
        <w:rPr>
          <w:rFonts w:hint="eastAsia" w:ascii="宋体" w:hAnsi="宋体" w:cs="宋体"/>
          <w:color w:val="000000"/>
          <w:szCs w:val="21"/>
        </w:rPr>
        <w:t>特此证明。</w:t>
      </w:r>
    </w:p>
    <w:p>
      <w:pPr>
        <w:wordWrap w:val="0"/>
        <w:adjustRightInd w:val="0"/>
        <w:snapToGrid w:val="0"/>
        <w:spacing w:line="360" w:lineRule="auto"/>
        <w:ind w:firstLine="4137" w:firstLineChars="1970"/>
        <w:rPr>
          <w:rFonts w:ascii="宋体" w:hAnsi="宋体" w:cs="宋体"/>
          <w:color w:val="000000"/>
          <w:szCs w:val="21"/>
        </w:rPr>
      </w:pPr>
      <w:r>
        <w:rPr>
          <w:rFonts w:hint="eastAsia" w:ascii="宋体" w:hAnsi="宋体" w:cs="宋体"/>
          <w:color w:val="000000"/>
          <w:szCs w:val="21"/>
        </w:rPr>
        <w:t>谈判响应人：</w:t>
      </w:r>
      <w:r>
        <w:rPr>
          <w:rFonts w:hint="eastAsia" w:ascii="宋体" w:hAnsi="宋体" w:cs="宋体"/>
          <w:color w:val="000000"/>
          <w:szCs w:val="21"/>
          <w:u w:val="single"/>
        </w:rPr>
        <w:t xml:space="preserve">                             </w:t>
      </w:r>
      <w:r>
        <w:rPr>
          <w:rFonts w:hint="eastAsia" w:ascii="宋体" w:hAnsi="宋体" w:cs="宋体"/>
          <w:color w:val="000000"/>
          <w:szCs w:val="21"/>
        </w:rPr>
        <w:t>（盖章）</w:t>
      </w:r>
    </w:p>
    <w:p>
      <w:pPr>
        <w:wordWrap w:val="0"/>
        <w:adjustRightInd w:val="0"/>
        <w:snapToGrid w:val="0"/>
        <w:spacing w:line="360" w:lineRule="auto"/>
        <w:ind w:right="360" w:firstLine="4851" w:firstLineChars="2310"/>
        <w:jc w:val="righ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b/>
          <w:bCs/>
          <w:color w:val="000000"/>
          <w:szCs w:val="21"/>
        </w:rPr>
      </w:pPr>
      <w:r>
        <w:rPr>
          <w:rFonts w:hint="eastAsia" w:ascii="宋体" w:hAnsi="宋体" w:cs="宋体"/>
          <w:b/>
          <w:bCs/>
          <w:color w:val="000000"/>
          <w:szCs w:val="21"/>
        </w:rPr>
        <w:t>法定代表人授权委托书</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本人</w:t>
      </w:r>
      <w:r>
        <w:rPr>
          <w:rFonts w:hint="eastAsia" w:ascii="宋体" w:hAnsi="宋体" w:cs="宋体"/>
          <w:color w:val="000000"/>
          <w:szCs w:val="21"/>
          <w:u w:val="single"/>
        </w:rPr>
        <w:t xml:space="preserve">         </w:t>
      </w:r>
      <w:r>
        <w:rPr>
          <w:rFonts w:hint="eastAsia" w:ascii="宋体" w:hAnsi="宋体" w:cs="宋体"/>
          <w:color w:val="000000"/>
          <w:szCs w:val="21"/>
        </w:rPr>
        <w:t>（姓名）系</w:t>
      </w:r>
      <w:r>
        <w:rPr>
          <w:rFonts w:hint="eastAsia" w:ascii="宋体" w:hAnsi="宋体" w:cs="宋体"/>
          <w:color w:val="000000"/>
          <w:szCs w:val="21"/>
          <w:u w:val="single"/>
        </w:rPr>
        <w:t xml:space="preserve">            </w:t>
      </w:r>
      <w:r>
        <w:rPr>
          <w:rFonts w:hint="eastAsia" w:ascii="宋体" w:hAnsi="宋体" w:cs="宋体"/>
          <w:color w:val="000000"/>
          <w:szCs w:val="21"/>
        </w:rPr>
        <w:t>（谈判响应人名称）的法定代表人，现委托</w:t>
      </w:r>
      <w:r>
        <w:rPr>
          <w:rFonts w:hint="eastAsia" w:ascii="宋体" w:hAnsi="宋体" w:cs="宋体"/>
          <w:color w:val="000000"/>
          <w:szCs w:val="21"/>
          <w:u w:val="single"/>
        </w:rPr>
        <w:t xml:space="preserve">        </w:t>
      </w:r>
      <w:r>
        <w:rPr>
          <w:rFonts w:hint="eastAsia" w:ascii="宋体" w:hAnsi="宋体" w:cs="宋体"/>
          <w:color w:val="000000"/>
          <w:szCs w:val="21"/>
        </w:rPr>
        <w:t>（姓名）为我方委托代理人。委托代理人根据授权，以我方名义处理</w:t>
      </w:r>
      <w:r>
        <w:rPr>
          <w:rFonts w:hint="eastAsia" w:ascii="宋体" w:hAnsi="宋体" w:cs="宋体"/>
          <w:color w:val="000000"/>
          <w:szCs w:val="21"/>
          <w:u w:val="single"/>
        </w:rPr>
        <w:t xml:space="preserve">                           </w:t>
      </w:r>
      <w:r>
        <w:rPr>
          <w:rFonts w:hint="eastAsia" w:ascii="宋体" w:hAnsi="宋体" w:cs="宋体"/>
          <w:color w:val="000000"/>
          <w:szCs w:val="21"/>
        </w:rPr>
        <w:t>（项目名称）的谈判响应一切事宜，其法律后果由我方承担。</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委托期限：</w:t>
      </w:r>
      <w:r>
        <w:rPr>
          <w:rFonts w:hint="eastAsia" w:ascii="宋体" w:hAnsi="宋体" w:cs="宋体"/>
          <w:color w:val="000000"/>
          <w:szCs w:val="21"/>
          <w:u w:val="single"/>
        </w:rPr>
        <w:t xml:space="preserve">                </w:t>
      </w:r>
      <w:r>
        <w:rPr>
          <w:rFonts w:hint="eastAsia" w:ascii="宋体" w:hAnsi="宋体" w:cs="宋体"/>
          <w:color w:val="000000"/>
          <w:szCs w:val="21"/>
        </w:rPr>
        <w:t>。</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委托代理人无转委托权，特此委托。</w:t>
      </w:r>
    </w:p>
    <w:p>
      <w:pPr>
        <w:wordWrap w:val="0"/>
        <w:spacing w:line="360" w:lineRule="auto"/>
        <w:ind w:firstLine="630" w:firstLineChars="300"/>
        <w:rPr>
          <w:rFonts w:ascii="宋体" w:hAnsi="宋体" w:cs="宋体"/>
          <w:color w:val="000000"/>
          <w:szCs w:val="21"/>
          <w:u w:val="single"/>
        </w:rPr>
      </w:pPr>
      <w:r>
        <w:rPr>
          <w:rFonts w:hint="eastAsia" w:ascii="宋体" w:hAnsi="宋体" w:cs="宋体"/>
          <w:color w:val="000000"/>
          <w:szCs w:val="21"/>
        </w:rPr>
        <w:t>委托代理人：</w:t>
      </w:r>
      <w:r>
        <w:rPr>
          <w:rFonts w:hint="eastAsia" w:ascii="宋体" w:hAnsi="宋体" w:cs="宋体"/>
          <w:color w:val="000000"/>
          <w:szCs w:val="21"/>
          <w:u w:val="single"/>
        </w:rPr>
        <w:t xml:space="preserve">              </w:t>
      </w:r>
      <w:r>
        <w:rPr>
          <w:rFonts w:hint="eastAsia" w:ascii="宋体" w:hAnsi="宋体" w:cs="宋体"/>
          <w:color w:val="000000"/>
          <w:szCs w:val="21"/>
        </w:rPr>
        <w:t>性别 ：</w:t>
      </w:r>
      <w:r>
        <w:rPr>
          <w:rFonts w:hint="eastAsia" w:ascii="宋体" w:hAnsi="宋体" w:cs="宋体"/>
          <w:color w:val="000000"/>
          <w:szCs w:val="21"/>
          <w:u w:val="single"/>
        </w:rPr>
        <w:t xml:space="preserve">            </w:t>
      </w:r>
      <w:r>
        <w:rPr>
          <w:rFonts w:hint="eastAsia" w:ascii="宋体" w:hAnsi="宋体" w:cs="宋体"/>
          <w:color w:val="000000"/>
          <w:szCs w:val="21"/>
        </w:rPr>
        <w:t>年龄：_______</w:t>
      </w:r>
    </w:p>
    <w:p>
      <w:pPr>
        <w:wordWrap w:val="0"/>
        <w:spacing w:line="360" w:lineRule="auto"/>
        <w:ind w:firstLine="630" w:firstLineChars="300"/>
        <w:rPr>
          <w:rFonts w:ascii="宋体" w:hAnsi="宋体" w:cs="宋体"/>
          <w:color w:val="000000"/>
          <w:szCs w:val="21"/>
          <w:u w:val="single"/>
        </w:rPr>
      </w:pPr>
      <w:r>
        <w:rPr>
          <w:rFonts w:hint="eastAsia" w:ascii="宋体" w:hAnsi="宋体" w:cs="宋体"/>
          <w:color w:val="000000"/>
          <w:szCs w:val="21"/>
        </w:rPr>
        <w:t>身份证号码：</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hAnsi="宋体" w:cs="宋体"/>
          <w:color w:val="000000"/>
          <w:szCs w:val="21"/>
          <w:u w:val="single"/>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hAnsi="宋体" w:cs="宋体"/>
          <w:color w:val="000000"/>
          <w:szCs w:val="21"/>
        </w:rPr>
      </w:pPr>
      <w:r>
        <w:rPr>
          <w:rFonts w:hint="eastAsia" w:ascii="宋体" w:hAnsi="宋体" w:cs="宋体"/>
          <w:color w:val="000000"/>
          <w:szCs w:val="21"/>
        </w:rPr>
        <w:t>谈判响应人：</w:t>
      </w:r>
      <w:r>
        <w:rPr>
          <w:rFonts w:hint="eastAsia" w:ascii="宋体" w:hAnsi="宋体" w:cs="宋体"/>
          <w:color w:val="000000"/>
          <w:szCs w:val="21"/>
          <w:u w:val="single"/>
        </w:rPr>
        <w:t xml:space="preserve">                                          （盖章）</w:t>
      </w:r>
    </w:p>
    <w:p>
      <w:pPr>
        <w:wordWrap w:val="0"/>
        <w:spacing w:line="360" w:lineRule="auto"/>
        <w:ind w:firstLine="420" w:firstLineChars="200"/>
        <w:rPr>
          <w:rFonts w:ascii="宋体" w:hAnsi="宋体" w:cs="宋体"/>
          <w:color w:val="000000"/>
          <w:szCs w:val="21"/>
        </w:rPr>
      </w:pPr>
      <w:r>
        <w:rPr>
          <w:rFonts w:hint="eastAsia" w:ascii="宋体" w:hAnsi="宋体" w:cs="宋体"/>
          <w:color w:val="000000"/>
          <w:szCs w:val="21"/>
        </w:rPr>
        <w:t>法定代表人：</w:t>
      </w:r>
      <w:r>
        <w:rPr>
          <w:rFonts w:hint="eastAsia" w:ascii="宋体" w:hAnsi="宋体" w:cs="宋体"/>
          <w:color w:val="000000"/>
          <w:szCs w:val="21"/>
          <w:u w:val="single"/>
        </w:rPr>
        <w:t xml:space="preserve">                                      （盖章）</w:t>
      </w:r>
    </w:p>
    <w:p>
      <w:pPr>
        <w:wordWrap w:val="0"/>
        <w:spacing w:line="360" w:lineRule="auto"/>
        <w:ind w:right="480" w:firstLine="420" w:firstLineChars="200"/>
        <w:rPr>
          <w:rFonts w:ascii="宋体" w:hAnsi="宋体" w:cs="宋体"/>
          <w:color w:val="000000"/>
          <w:szCs w:val="21"/>
        </w:rPr>
      </w:pPr>
      <w:r>
        <w:rPr>
          <w:rFonts w:hint="eastAsia" w:ascii="宋体" w:hAnsi="宋体" w:cs="宋体"/>
          <w:color w:val="000000"/>
          <w:szCs w:val="21"/>
        </w:rPr>
        <w:t>授权委托日期：</w:t>
      </w:r>
      <w:r>
        <w:rPr>
          <w:rFonts w:hint="eastAsia" w:ascii="宋体" w:hAnsi="宋体" w:cs="宋体"/>
          <w:color w:val="000000"/>
          <w:szCs w:val="21"/>
          <w:u w:val="single"/>
        </w:rPr>
        <w:t xml:space="preserve">     </w:t>
      </w:r>
      <w:r>
        <w:rPr>
          <w:rFonts w:hint="eastAsia" w:ascii="宋体" w:hAnsi="宋体" w:cs="宋体"/>
          <w:color w:val="000000"/>
          <w:szCs w:val="21"/>
        </w:rPr>
        <w:t xml:space="preserve">年 </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spacing w:line="360" w:lineRule="auto"/>
        <w:ind w:right="480"/>
        <w:rPr>
          <w:rFonts w:ascii="宋体" w:hAnsi="宋体" w:cs="宋体"/>
          <w:color w:val="000000"/>
          <w:szCs w:val="21"/>
        </w:rPr>
      </w:pPr>
    </w:p>
    <w:p>
      <w:pPr>
        <w:spacing w:line="360" w:lineRule="auto"/>
        <w:ind w:firstLine="413" w:firstLineChars="196"/>
        <w:jc w:val="center"/>
        <w:rPr>
          <w:rFonts w:ascii="宋体" w:hAnsi="宋体"/>
          <w:b/>
          <w:bCs/>
          <w:color w:val="000000"/>
          <w:szCs w:val="21"/>
        </w:rPr>
      </w:pPr>
      <w:r>
        <w:rPr>
          <w:rFonts w:hint="eastAsia" w:ascii="宋体" w:hAnsi="宋体"/>
          <w:b/>
          <w:bCs/>
          <w:color w:val="000000"/>
          <w:szCs w:val="21"/>
        </w:rPr>
        <w:t>负责人身份证明书</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谈判响应人名称：</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单位性质：</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地址：</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成立时间：</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经营期限：</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姓名：</w:t>
      </w:r>
      <w:r>
        <w:rPr>
          <w:rFonts w:hint="eastAsia" w:ascii="宋体" w:hAnsi="宋体"/>
          <w:color w:val="000000"/>
          <w:szCs w:val="21"/>
          <w:u w:val="single"/>
        </w:rPr>
        <w:t xml:space="preserve">             </w:t>
      </w:r>
      <w:r>
        <w:rPr>
          <w:rFonts w:hint="eastAsia" w:ascii="宋体" w:hAnsi="宋体"/>
          <w:color w:val="000000"/>
          <w:szCs w:val="21"/>
        </w:rPr>
        <w:t>性别：</w:t>
      </w:r>
      <w:r>
        <w:rPr>
          <w:rFonts w:hint="eastAsia" w:ascii="宋体" w:hAnsi="宋体"/>
          <w:color w:val="000000"/>
          <w:szCs w:val="21"/>
          <w:u w:val="single"/>
        </w:rPr>
        <w:t xml:space="preserve">         </w:t>
      </w:r>
      <w:r>
        <w:rPr>
          <w:rFonts w:hint="eastAsia" w:ascii="宋体" w:hAnsi="宋体"/>
          <w:color w:val="000000"/>
          <w:szCs w:val="21"/>
        </w:rPr>
        <w:t>年龄：</w:t>
      </w:r>
      <w:r>
        <w:rPr>
          <w:rFonts w:hint="eastAsia" w:ascii="宋体" w:hAnsi="宋体"/>
          <w:color w:val="000000"/>
          <w:szCs w:val="21"/>
          <w:u w:val="single"/>
        </w:rPr>
        <w:t xml:space="preserve">          </w:t>
      </w:r>
      <w:r>
        <w:rPr>
          <w:rFonts w:hint="eastAsia" w:ascii="宋体" w:hAnsi="宋体"/>
          <w:color w:val="000000"/>
          <w:szCs w:val="21"/>
        </w:rPr>
        <w:t>职务：</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系</w:t>
      </w:r>
      <w:r>
        <w:rPr>
          <w:rFonts w:hint="eastAsia" w:ascii="宋体" w:hAnsi="宋体"/>
          <w:color w:val="000000"/>
          <w:szCs w:val="21"/>
          <w:u w:val="single"/>
        </w:rPr>
        <w:t xml:space="preserve">                          </w:t>
      </w:r>
      <w:r>
        <w:rPr>
          <w:rFonts w:hint="eastAsia" w:ascii="宋体" w:hAnsi="宋体"/>
          <w:color w:val="000000"/>
          <w:szCs w:val="21"/>
        </w:rPr>
        <w:t>（谈判响应人名称）的负责人。</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20" w:firstLineChars="200"/>
        <w:rPr>
          <w:rFonts w:ascii="宋体" w:hAnsi="宋体"/>
          <w:color w:val="000000"/>
          <w:szCs w:val="21"/>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11" w:firstLineChars="196"/>
        <w:rPr>
          <w:rFonts w:ascii="宋体" w:hAnsi="宋体"/>
          <w:color w:val="000000"/>
          <w:szCs w:val="21"/>
        </w:rPr>
      </w:pPr>
      <w:r>
        <w:rPr>
          <w:rFonts w:hint="eastAsia" w:ascii="宋体" w:hAnsi="宋体"/>
          <w:color w:val="000000"/>
          <w:szCs w:val="21"/>
        </w:rPr>
        <w:t>特此证明。</w:t>
      </w:r>
    </w:p>
    <w:p>
      <w:pPr>
        <w:wordWrap w:val="0"/>
        <w:adjustRightInd w:val="0"/>
        <w:snapToGrid w:val="0"/>
        <w:spacing w:line="360" w:lineRule="auto"/>
        <w:ind w:firstLine="4137" w:firstLineChars="1970"/>
        <w:rPr>
          <w:rFonts w:ascii="宋体" w:hAnsi="宋体"/>
          <w:color w:val="000000"/>
          <w:szCs w:val="21"/>
        </w:rPr>
      </w:pPr>
      <w:r>
        <w:rPr>
          <w:rFonts w:hint="eastAsia" w:ascii="宋体" w:hAnsi="宋体"/>
          <w:color w:val="000000"/>
          <w:szCs w:val="21"/>
        </w:rPr>
        <w:t>谈判响应人：</w:t>
      </w:r>
      <w:r>
        <w:rPr>
          <w:rFonts w:hint="eastAsia" w:ascii="宋体" w:hAnsi="宋体"/>
          <w:color w:val="000000"/>
          <w:szCs w:val="21"/>
          <w:u w:val="single"/>
        </w:rPr>
        <w:t xml:space="preserve">                             </w:t>
      </w:r>
      <w:r>
        <w:rPr>
          <w:rFonts w:hint="eastAsia" w:ascii="宋体" w:hAnsi="宋体"/>
          <w:color w:val="000000"/>
          <w:szCs w:val="21"/>
        </w:rPr>
        <w:t>（盖章）</w:t>
      </w:r>
    </w:p>
    <w:p>
      <w:pPr>
        <w:wordWrap w:val="0"/>
        <w:adjustRightInd w:val="0"/>
        <w:snapToGrid w:val="0"/>
        <w:spacing w:line="360" w:lineRule="auto"/>
        <w:ind w:right="360" w:firstLine="4851" w:firstLineChars="2310"/>
        <w:jc w:val="right"/>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wordWrap w:val="0"/>
        <w:spacing w:line="360" w:lineRule="auto"/>
        <w:jc w:val="center"/>
        <w:rPr>
          <w:rFonts w:ascii="宋体" w:hAnsi="宋体"/>
          <w:color w:val="000000"/>
          <w:szCs w:val="21"/>
        </w:rPr>
      </w:pPr>
      <w:r>
        <w:rPr>
          <w:rFonts w:hint="eastAsia" w:ascii="宋体" w:hAnsi="宋体"/>
          <w:color w:val="000000"/>
          <w:szCs w:val="21"/>
        </w:rPr>
        <w:t xml:space="preserve"> </w:t>
      </w:r>
    </w:p>
    <w:p>
      <w:pPr>
        <w:wordWrap w:val="0"/>
        <w:spacing w:line="360" w:lineRule="auto"/>
        <w:jc w:val="center"/>
        <w:rPr>
          <w:rFonts w:ascii="宋体" w:hAnsi="宋体"/>
          <w:color w:val="000000"/>
          <w:szCs w:val="21"/>
        </w:rPr>
      </w:pPr>
      <w:r>
        <w:rPr>
          <w:rFonts w:hint="eastAsia" w:ascii="宋体" w:hAnsi="宋体"/>
          <w:color w:val="000000"/>
          <w:szCs w:val="21"/>
        </w:rPr>
        <w:t xml:space="preserve"> </w:t>
      </w:r>
    </w:p>
    <w:p>
      <w:pPr>
        <w:wordWrap w:val="0"/>
        <w:spacing w:line="360" w:lineRule="auto"/>
        <w:jc w:val="center"/>
        <w:rPr>
          <w:rFonts w:ascii="宋体" w:hAnsi="宋体"/>
          <w:color w:val="000000"/>
          <w:szCs w:val="21"/>
        </w:rPr>
      </w:pPr>
    </w:p>
    <w:p>
      <w:pPr>
        <w:wordWrap w:val="0"/>
        <w:spacing w:line="360" w:lineRule="auto"/>
        <w:jc w:val="center"/>
        <w:rPr>
          <w:rFonts w:ascii="宋体" w:hAnsi="宋体"/>
          <w:color w:val="000000"/>
          <w:szCs w:val="21"/>
        </w:rPr>
      </w:pPr>
      <w:r>
        <w:rPr>
          <w:rFonts w:hint="eastAsia" w:ascii="宋体" w:hAnsi="宋体"/>
          <w:color w:val="000000"/>
          <w:szCs w:val="21"/>
        </w:rPr>
        <w:t xml:space="preserve"> </w:t>
      </w:r>
    </w:p>
    <w:p>
      <w:pPr>
        <w:wordWrap w:val="0"/>
        <w:spacing w:line="360" w:lineRule="auto"/>
        <w:jc w:val="center"/>
        <w:rPr>
          <w:rFonts w:ascii="宋体" w:hAnsi="宋体"/>
          <w:b/>
          <w:bCs/>
          <w:color w:val="000000"/>
          <w:szCs w:val="21"/>
        </w:rPr>
      </w:pPr>
      <w:r>
        <w:rPr>
          <w:rFonts w:hint="eastAsia" w:ascii="宋体" w:hAnsi="宋体"/>
          <w:b/>
          <w:bCs/>
          <w:color w:val="000000"/>
          <w:szCs w:val="21"/>
        </w:rPr>
        <w:t>负责人授权委托书</w:t>
      </w:r>
    </w:p>
    <w:p>
      <w:pPr>
        <w:wordWrap w:val="0"/>
        <w:spacing w:line="360" w:lineRule="auto"/>
        <w:ind w:firstLine="630" w:firstLineChars="300"/>
        <w:rPr>
          <w:rFonts w:ascii="宋体" w:hAnsi="宋体"/>
          <w:color w:val="000000"/>
          <w:szCs w:val="21"/>
        </w:rPr>
      </w:pPr>
      <w:r>
        <w:rPr>
          <w:rFonts w:hint="eastAsia" w:ascii="宋体" w:hAnsi="宋体"/>
          <w:color w:val="000000"/>
          <w:szCs w:val="21"/>
        </w:rPr>
        <w:t>本人</w:t>
      </w:r>
      <w:r>
        <w:rPr>
          <w:rFonts w:hint="eastAsia" w:ascii="宋体" w:hAnsi="宋体"/>
          <w:color w:val="000000"/>
          <w:szCs w:val="21"/>
          <w:u w:val="single"/>
        </w:rPr>
        <w:t xml:space="preserve">         </w:t>
      </w:r>
      <w:r>
        <w:rPr>
          <w:rFonts w:hint="eastAsia" w:ascii="宋体" w:hAnsi="宋体"/>
          <w:color w:val="000000"/>
          <w:szCs w:val="21"/>
        </w:rPr>
        <w:t>（姓名）系</w:t>
      </w:r>
      <w:r>
        <w:rPr>
          <w:rFonts w:hint="eastAsia" w:ascii="宋体" w:hAnsi="宋体"/>
          <w:color w:val="000000"/>
          <w:szCs w:val="21"/>
          <w:u w:val="single"/>
        </w:rPr>
        <w:t xml:space="preserve">            </w:t>
      </w:r>
      <w:r>
        <w:rPr>
          <w:rFonts w:hint="eastAsia" w:ascii="宋体" w:hAnsi="宋体"/>
          <w:color w:val="000000"/>
          <w:szCs w:val="21"/>
        </w:rPr>
        <w:t>（谈判响应人名称）的负责人，现委托</w:t>
      </w:r>
      <w:r>
        <w:rPr>
          <w:rFonts w:hint="eastAsia" w:ascii="宋体" w:hAnsi="宋体"/>
          <w:color w:val="000000"/>
          <w:szCs w:val="21"/>
          <w:u w:val="single"/>
        </w:rPr>
        <w:t xml:space="preserve">        </w:t>
      </w:r>
      <w:r>
        <w:rPr>
          <w:rFonts w:hint="eastAsia" w:ascii="宋体" w:hAnsi="宋体"/>
          <w:color w:val="000000"/>
          <w:szCs w:val="21"/>
        </w:rPr>
        <w:t>（姓名）为我方委托代理人。委托代理人根据授权，以我方名义处理</w:t>
      </w:r>
      <w:r>
        <w:rPr>
          <w:rFonts w:hint="eastAsia" w:ascii="宋体" w:hAnsi="宋体"/>
          <w:color w:val="000000"/>
          <w:szCs w:val="21"/>
          <w:u w:val="single"/>
        </w:rPr>
        <w:t xml:space="preserve">                           </w:t>
      </w:r>
      <w:r>
        <w:rPr>
          <w:rFonts w:hint="eastAsia" w:ascii="宋体" w:hAnsi="宋体"/>
          <w:color w:val="000000"/>
          <w:szCs w:val="21"/>
        </w:rPr>
        <w:t>（项目名称）的谈判响应一切事宜，其法律后果由我方承担。</w:t>
      </w:r>
    </w:p>
    <w:p>
      <w:pPr>
        <w:wordWrap w:val="0"/>
        <w:spacing w:line="360" w:lineRule="auto"/>
        <w:ind w:firstLine="630" w:firstLineChars="300"/>
        <w:rPr>
          <w:rFonts w:ascii="宋体" w:hAnsi="宋体"/>
          <w:color w:val="000000"/>
          <w:szCs w:val="21"/>
        </w:rPr>
      </w:pPr>
      <w:r>
        <w:rPr>
          <w:rFonts w:hint="eastAsia" w:ascii="宋体" w:hAnsi="宋体"/>
          <w:color w:val="000000"/>
          <w:szCs w:val="21"/>
        </w:rPr>
        <w:t>委托期限：</w:t>
      </w:r>
      <w:r>
        <w:rPr>
          <w:rFonts w:hint="eastAsia" w:ascii="宋体" w:hAnsi="宋体"/>
          <w:color w:val="000000"/>
          <w:szCs w:val="21"/>
          <w:u w:val="single"/>
        </w:rPr>
        <w:t xml:space="preserve">                </w:t>
      </w:r>
      <w:r>
        <w:rPr>
          <w:rFonts w:hint="eastAsia" w:ascii="宋体" w:hAnsi="宋体"/>
          <w:color w:val="000000"/>
          <w:szCs w:val="21"/>
        </w:rPr>
        <w:t>。</w:t>
      </w:r>
    </w:p>
    <w:p>
      <w:pPr>
        <w:wordWrap w:val="0"/>
        <w:spacing w:line="360" w:lineRule="auto"/>
        <w:ind w:firstLine="630" w:firstLineChars="300"/>
        <w:rPr>
          <w:rFonts w:ascii="宋体" w:hAnsi="宋体"/>
          <w:color w:val="000000"/>
          <w:szCs w:val="21"/>
        </w:rPr>
      </w:pPr>
      <w:r>
        <w:rPr>
          <w:rFonts w:hint="eastAsia" w:ascii="宋体" w:hAnsi="宋体"/>
          <w:color w:val="000000"/>
          <w:szCs w:val="21"/>
        </w:rPr>
        <w:t>委托代理人无转委托权，特此委托。</w:t>
      </w:r>
    </w:p>
    <w:p>
      <w:pPr>
        <w:wordWrap w:val="0"/>
        <w:spacing w:line="360" w:lineRule="auto"/>
        <w:ind w:firstLine="630" w:firstLineChars="300"/>
        <w:rPr>
          <w:rFonts w:ascii="宋体" w:hAnsi="宋体"/>
          <w:color w:val="000000"/>
          <w:szCs w:val="21"/>
          <w:u w:val="single"/>
        </w:rPr>
      </w:pPr>
      <w:r>
        <w:rPr>
          <w:rFonts w:hint="eastAsia" w:ascii="宋体" w:hAnsi="宋体"/>
          <w:color w:val="000000"/>
          <w:szCs w:val="21"/>
        </w:rPr>
        <w:t>委托代理人：</w:t>
      </w:r>
      <w:r>
        <w:rPr>
          <w:rFonts w:hint="eastAsia" w:ascii="宋体" w:hAnsi="宋体"/>
          <w:color w:val="000000"/>
          <w:szCs w:val="21"/>
          <w:u w:val="single"/>
        </w:rPr>
        <w:t xml:space="preserve">              </w:t>
      </w:r>
      <w:r>
        <w:rPr>
          <w:rFonts w:hint="eastAsia" w:ascii="宋体" w:hAnsi="宋体"/>
          <w:color w:val="000000"/>
          <w:szCs w:val="21"/>
        </w:rPr>
        <w:t>性别 ：</w:t>
      </w:r>
      <w:r>
        <w:rPr>
          <w:rFonts w:hint="eastAsia" w:ascii="宋体" w:hAnsi="宋体"/>
          <w:color w:val="000000"/>
          <w:szCs w:val="21"/>
          <w:u w:val="single"/>
        </w:rPr>
        <w:t xml:space="preserve">            </w:t>
      </w:r>
      <w:r>
        <w:rPr>
          <w:rFonts w:hint="eastAsia" w:ascii="宋体" w:hAnsi="宋体"/>
          <w:color w:val="000000"/>
          <w:szCs w:val="21"/>
        </w:rPr>
        <w:t>年龄：_______</w:t>
      </w:r>
    </w:p>
    <w:p>
      <w:pPr>
        <w:wordWrap w:val="0"/>
        <w:spacing w:line="360" w:lineRule="auto"/>
        <w:ind w:firstLine="630" w:firstLineChars="300"/>
        <w:rPr>
          <w:rFonts w:ascii="宋体" w:hAnsi="宋体"/>
          <w:color w:val="000000"/>
          <w:szCs w:val="21"/>
          <w:u w:val="single"/>
        </w:rPr>
      </w:pPr>
      <w:r>
        <w:rPr>
          <w:rFonts w:hint="eastAsia" w:ascii="宋体" w:hAnsi="宋体"/>
          <w:color w:val="000000"/>
          <w:szCs w:val="21"/>
        </w:rPr>
        <w:t>身份证号码：</w:t>
      </w:r>
      <w:r>
        <w:rPr>
          <w:rFonts w:hint="eastAsia" w:ascii="宋体" w:hAnsi="宋体"/>
          <w:color w:val="000000"/>
          <w:szCs w:val="21"/>
          <w:u w:val="single"/>
        </w:rPr>
        <w:t xml:space="preserve">                         </w:t>
      </w:r>
      <w:r>
        <w:rPr>
          <w:rFonts w:hint="eastAsia" w:ascii="宋体" w:hAnsi="宋体"/>
          <w:color w:val="000000"/>
          <w:szCs w:val="21"/>
        </w:rPr>
        <w:t>职务：</w:t>
      </w:r>
      <w:r>
        <w:rPr>
          <w:rFonts w:hint="eastAsia" w:ascii="宋体" w:hAnsi="宋体"/>
          <w:color w:val="000000"/>
          <w:szCs w:val="21"/>
          <w:u w:val="single"/>
        </w:rPr>
        <w:t xml:space="preserve">               </w:t>
      </w:r>
    </w:p>
    <w:p>
      <w:pPr>
        <w:wordWrap w:val="0"/>
        <w:spacing w:line="360" w:lineRule="auto"/>
        <w:ind w:firstLine="630" w:firstLineChars="300"/>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spacing w:line="360" w:lineRule="auto"/>
        <w:ind w:firstLine="630" w:firstLineChars="300"/>
        <w:rPr>
          <w:rFonts w:ascii="宋体" w:hAnsi="宋体"/>
          <w:color w:val="000000"/>
          <w:szCs w:val="21"/>
          <w:u w:val="single"/>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hAnsi="宋体"/>
          <w:color w:val="000000"/>
          <w:szCs w:val="21"/>
        </w:rPr>
      </w:pPr>
      <w:r>
        <w:rPr>
          <w:rFonts w:hint="eastAsia" w:ascii="宋体" w:hAnsi="宋体"/>
          <w:color w:val="000000"/>
          <w:szCs w:val="21"/>
        </w:rPr>
        <w:t>谈判响应人：</w:t>
      </w:r>
      <w:r>
        <w:rPr>
          <w:rFonts w:hint="eastAsia" w:ascii="宋体" w:hAnsi="宋体"/>
          <w:color w:val="000000"/>
          <w:szCs w:val="21"/>
          <w:u w:val="single"/>
        </w:rPr>
        <w:t xml:space="preserve">                                          （盖章）</w:t>
      </w:r>
    </w:p>
    <w:p>
      <w:pPr>
        <w:wordWrap w:val="0"/>
        <w:spacing w:line="360" w:lineRule="auto"/>
        <w:ind w:firstLine="420" w:firstLineChars="200"/>
        <w:rPr>
          <w:rFonts w:ascii="宋体" w:hAnsi="宋体"/>
          <w:color w:val="000000"/>
          <w:szCs w:val="21"/>
        </w:rPr>
      </w:pPr>
      <w:r>
        <w:rPr>
          <w:rFonts w:hint="eastAsia" w:ascii="宋体" w:hAnsi="宋体"/>
          <w:color w:val="000000"/>
          <w:szCs w:val="21"/>
        </w:rPr>
        <w:t>负责人：</w:t>
      </w:r>
      <w:r>
        <w:rPr>
          <w:rFonts w:hint="eastAsia" w:ascii="宋体" w:hAnsi="宋体"/>
          <w:color w:val="000000"/>
          <w:szCs w:val="21"/>
          <w:u w:val="single"/>
        </w:rPr>
        <w:t xml:space="preserve">                                      （盖章）</w:t>
      </w:r>
    </w:p>
    <w:p>
      <w:pPr>
        <w:wordWrap w:val="0"/>
        <w:spacing w:line="360" w:lineRule="auto"/>
        <w:ind w:right="480" w:firstLine="420" w:firstLineChars="200"/>
        <w:rPr>
          <w:rFonts w:ascii="宋体" w:hAnsi="宋体" w:cs="宋体"/>
          <w:b/>
          <w:color w:val="000000"/>
          <w:sz w:val="24"/>
        </w:rPr>
      </w:pPr>
      <w:r>
        <w:rPr>
          <w:rFonts w:hint="eastAsia" w:ascii="宋体" w:hAnsi="宋体"/>
          <w:color w:val="000000"/>
          <w:szCs w:val="21"/>
        </w:rPr>
        <w:t>授权委托日期：</w:t>
      </w:r>
      <w:r>
        <w:rPr>
          <w:rFonts w:hint="eastAsia" w:ascii="宋体" w:hAnsi="宋体"/>
          <w:color w:val="000000"/>
          <w:szCs w:val="21"/>
          <w:u w:val="single"/>
        </w:rPr>
        <w:t xml:space="preserve">     </w:t>
      </w:r>
      <w:r>
        <w:rPr>
          <w:rFonts w:hint="eastAsia" w:ascii="宋体" w:hAnsi="宋体"/>
          <w:color w:val="000000"/>
          <w:szCs w:val="21"/>
        </w:rPr>
        <w:t xml:space="preserve">年 </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sectPr>
      <w:headerReference r:id="rId5" w:type="default"/>
      <w:footerReference r:id="rId6" w:type="default"/>
      <w:pgSz w:w="11906" w:h="16838"/>
      <w:pgMar w:top="1417" w:right="1418" w:bottom="1417" w:left="1418" w:header="680" w:footer="68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宋体常规">
    <w:altName w:val="宋体"/>
    <w:panose1 w:val="020B0604020202020204"/>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auto" w:sz="4" w:space="1"/>
      </w:pBdr>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37</w:t>
                          </w:r>
                          <w:r>
                            <w:t xml:space="preserve"> 页</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37</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0"/>
      <w:jc w:val="right"/>
      <w:rPr>
        <w:rFonts w:hint="eastAsia" w:eastAsia="宋体"/>
        <w:szCs w:val="21"/>
        <w:lang w:eastAsia="zh-CN"/>
      </w:rPr>
    </w:pP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eastAsia="zh-CN"/>
      </w:rPr>
      <w:t>安庆市新闻传媒中心网络安全等级保护测评服务项目（三次）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7203B5"/>
    <w:multiLevelType w:val="multilevel"/>
    <w:tmpl w:val="1F7203B5"/>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1">
    <w:nsid w:val="37AB6D1C"/>
    <w:multiLevelType w:val="multilevel"/>
    <w:tmpl w:val="37AB6D1C"/>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55DBBED0"/>
    <w:multiLevelType w:val="singleLevel"/>
    <w:tmpl w:val="55DBBED0"/>
    <w:lvl w:ilvl="0" w:tentative="0">
      <w:start w:val="1"/>
      <w:numFmt w:val="chineseCounting"/>
      <w:suff w:val="nothing"/>
      <w:lvlText w:val="%1、"/>
      <w:lvlJc w:val="left"/>
    </w:lvl>
  </w:abstractNum>
  <w:abstractNum w:abstractNumId="3">
    <w:nsid w:val="58DE129E"/>
    <w:multiLevelType w:val="singleLevel"/>
    <w:tmpl w:val="58DE129E"/>
    <w:lvl w:ilvl="0" w:tentative="0">
      <w:start w:val="4"/>
      <w:numFmt w:val="chineseCounting"/>
      <w:suff w:val="nothing"/>
      <w:lvlText w:val="%1、"/>
      <w:lvlJc w:val="left"/>
    </w:lvl>
  </w:abstractNum>
  <w:abstractNum w:abstractNumId="4">
    <w:nsid w:val="590BEEFE"/>
    <w:multiLevelType w:val="singleLevel"/>
    <w:tmpl w:val="590BEEFE"/>
    <w:lvl w:ilvl="0" w:tentative="0">
      <w:start w:val="13"/>
      <w:numFmt w:val="decimal"/>
      <w:suff w:val="nothing"/>
      <w:lvlText w:val="%1、"/>
      <w:lvlJc w:val="left"/>
    </w:lvl>
  </w:abstractNum>
  <w:abstractNum w:abstractNumId="5">
    <w:nsid w:val="7485B966"/>
    <w:multiLevelType w:val="singleLevel"/>
    <w:tmpl w:val="7485B966"/>
    <w:lvl w:ilvl="0" w:tentative="0">
      <w:start w:val="3"/>
      <w:numFmt w:val="decimal"/>
      <w:lvlText w:val="%1."/>
      <w:lvlJc w:val="left"/>
      <w:pPr>
        <w:tabs>
          <w:tab w:val="left" w:pos="312"/>
        </w:tabs>
      </w:p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YTA2NWVlMjZiZWExNDM3NWU0MmQ0N2Q1MmJiZDcifQ=="/>
  </w:docVars>
  <w:rsids>
    <w:rsidRoot w:val="00172A27"/>
    <w:rsid w:val="00000A6A"/>
    <w:rsid w:val="00000C17"/>
    <w:rsid w:val="0000107A"/>
    <w:rsid w:val="000011BE"/>
    <w:rsid w:val="000042D3"/>
    <w:rsid w:val="00005133"/>
    <w:rsid w:val="00005466"/>
    <w:rsid w:val="00006A92"/>
    <w:rsid w:val="00006AF1"/>
    <w:rsid w:val="00007032"/>
    <w:rsid w:val="00007320"/>
    <w:rsid w:val="000073FC"/>
    <w:rsid w:val="00007515"/>
    <w:rsid w:val="00007AA3"/>
    <w:rsid w:val="000126E1"/>
    <w:rsid w:val="00013CB8"/>
    <w:rsid w:val="0001415D"/>
    <w:rsid w:val="000149A1"/>
    <w:rsid w:val="000155EA"/>
    <w:rsid w:val="00015E04"/>
    <w:rsid w:val="00016F43"/>
    <w:rsid w:val="00017071"/>
    <w:rsid w:val="0002120C"/>
    <w:rsid w:val="00021D7E"/>
    <w:rsid w:val="00022253"/>
    <w:rsid w:val="00023297"/>
    <w:rsid w:val="00023BBF"/>
    <w:rsid w:val="00023C13"/>
    <w:rsid w:val="00023C3C"/>
    <w:rsid w:val="000242F3"/>
    <w:rsid w:val="0002603D"/>
    <w:rsid w:val="0002701D"/>
    <w:rsid w:val="0003013D"/>
    <w:rsid w:val="000319DA"/>
    <w:rsid w:val="000319EE"/>
    <w:rsid w:val="000337C8"/>
    <w:rsid w:val="00034253"/>
    <w:rsid w:val="00034AAF"/>
    <w:rsid w:val="00035299"/>
    <w:rsid w:val="000358D5"/>
    <w:rsid w:val="00035F36"/>
    <w:rsid w:val="0004043A"/>
    <w:rsid w:val="0004104A"/>
    <w:rsid w:val="000417F5"/>
    <w:rsid w:val="000417F8"/>
    <w:rsid w:val="0004231F"/>
    <w:rsid w:val="00045045"/>
    <w:rsid w:val="0004516A"/>
    <w:rsid w:val="000455DA"/>
    <w:rsid w:val="00045DB5"/>
    <w:rsid w:val="00045F16"/>
    <w:rsid w:val="00047F3E"/>
    <w:rsid w:val="00050835"/>
    <w:rsid w:val="00050A83"/>
    <w:rsid w:val="000511CB"/>
    <w:rsid w:val="000512EC"/>
    <w:rsid w:val="000518DE"/>
    <w:rsid w:val="00053412"/>
    <w:rsid w:val="00053D7B"/>
    <w:rsid w:val="0005429F"/>
    <w:rsid w:val="00055074"/>
    <w:rsid w:val="000559BC"/>
    <w:rsid w:val="0005704C"/>
    <w:rsid w:val="00057F18"/>
    <w:rsid w:val="000608AB"/>
    <w:rsid w:val="00060E7B"/>
    <w:rsid w:val="00061608"/>
    <w:rsid w:val="00061B81"/>
    <w:rsid w:val="00061E14"/>
    <w:rsid w:val="00062251"/>
    <w:rsid w:val="000624B1"/>
    <w:rsid w:val="00062AFA"/>
    <w:rsid w:val="00063D98"/>
    <w:rsid w:val="00064343"/>
    <w:rsid w:val="000649C8"/>
    <w:rsid w:val="00064D1E"/>
    <w:rsid w:val="00065803"/>
    <w:rsid w:val="000669F8"/>
    <w:rsid w:val="00066BD7"/>
    <w:rsid w:val="00066C1D"/>
    <w:rsid w:val="00070CBB"/>
    <w:rsid w:val="000727F7"/>
    <w:rsid w:val="00073DC2"/>
    <w:rsid w:val="00074E8A"/>
    <w:rsid w:val="00075D27"/>
    <w:rsid w:val="00076BB9"/>
    <w:rsid w:val="000776CC"/>
    <w:rsid w:val="0008079C"/>
    <w:rsid w:val="00081AFC"/>
    <w:rsid w:val="00083019"/>
    <w:rsid w:val="00084F13"/>
    <w:rsid w:val="000853BB"/>
    <w:rsid w:val="000855F2"/>
    <w:rsid w:val="000867D9"/>
    <w:rsid w:val="000911C6"/>
    <w:rsid w:val="00091459"/>
    <w:rsid w:val="00091872"/>
    <w:rsid w:val="0009213F"/>
    <w:rsid w:val="000921B8"/>
    <w:rsid w:val="00092463"/>
    <w:rsid w:val="00092644"/>
    <w:rsid w:val="00094CE2"/>
    <w:rsid w:val="00095BBF"/>
    <w:rsid w:val="000961D5"/>
    <w:rsid w:val="0009665A"/>
    <w:rsid w:val="00096958"/>
    <w:rsid w:val="00097945"/>
    <w:rsid w:val="00097DCE"/>
    <w:rsid w:val="000A0289"/>
    <w:rsid w:val="000A0E57"/>
    <w:rsid w:val="000A0F30"/>
    <w:rsid w:val="000A285D"/>
    <w:rsid w:val="000A3717"/>
    <w:rsid w:val="000A3A67"/>
    <w:rsid w:val="000A4773"/>
    <w:rsid w:val="000A5063"/>
    <w:rsid w:val="000A5517"/>
    <w:rsid w:val="000A5B59"/>
    <w:rsid w:val="000A6279"/>
    <w:rsid w:val="000A69D2"/>
    <w:rsid w:val="000A6C9F"/>
    <w:rsid w:val="000A788F"/>
    <w:rsid w:val="000B0CC0"/>
    <w:rsid w:val="000B2118"/>
    <w:rsid w:val="000B2843"/>
    <w:rsid w:val="000B34B1"/>
    <w:rsid w:val="000B3ACE"/>
    <w:rsid w:val="000B47EC"/>
    <w:rsid w:val="000B506D"/>
    <w:rsid w:val="000B7D6E"/>
    <w:rsid w:val="000C02F8"/>
    <w:rsid w:val="000C0991"/>
    <w:rsid w:val="000C09EA"/>
    <w:rsid w:val="000C0E18"/>
    <w:rsid w:val="000C1E8C"/>
    <w:rsid w:val="000C383F"/>
    <w:rsid w:val="000C4BBE"/>
    <w:rsid w:val="000C6EB4"/>
    <w:rsid w:val="000C7057"/>
    <w:rsid w:val="000C75DF"/>
    <w:rsid w:val="000D1369"/>
    <w:rsid w:val="000D291C"/>
    <w:rsid w:val="000D3B07"/>
    <w:rsid w:val="000D4A10"/>
    <w:rsid w:val="000D51D6"/>
    <w:rsid w:val="000D71D5"/>
    <w:rsid w:val="000D7CAD"/>
    <w:rsid w:val="000E04AF"/>
    <w:rsid w:val="000E0905"/>
    <w:rsid w:val="000E139D"/>
    <w:rsid w:val="000E1BDD"/>
    <w:rsid w:val="000E2B02"/>
    <w:rsid w:val="000E4988"/>
    <w:rsid w:val="000E517E"/>
    <w:rsid w:val="000E657B"/>
    <w:rsid w:val="000E7179"/>
    <w:rsid w:val="000E7913"/>
    <w:rsid w:val="000F1962"/>
    <w:rsid w:val="000F280E"/>
    <w:rsid w:val="000F2E4F"/>
    <w:rsid w:val="000F38FE"/>
    <w:rsid w:val="000F40D5"/>
    <w:rsid w:val="000F4F6F"/>
    <w:rsid w:val="000F51A9"/>
    <w:rsid w:val="000F5B5A"/>
    <w:rsid w:val="000F5E01"/>
    <w:rsid w:val="000F6EB4"/>
    <w:rsid w:val="000F72A8"/>
    <w:rsid w:val="0010403A"/>
    <w:rsid w:val="00104A68"/>
    <w:rsid w:val="001073FE"/>
    <w:rsid w:val="00107DF9"/>
    <w:rsid w:val="00111443"/>
    <w:rsid w:val="00111841"/>
    <w:rsid w:val="00112063"/>
    <w:rsid w:val="001167E5"/>
    <w:rsid w:val="001174A5"/>
    <w:rsid w:val="00117808"/>
    <w:rsid w:val="00117938"/>
    <w:rsid w:val="001179CE"/>
    <w:rsid w:val="00120DED"/>
    <w:rsid w:val="001220D1"/>
    <w:rsid w:val="00122412"/>
    <w:rsid w:val="00122B92"/>
    <w:rsid w:val="00122D8B"/>
    <w:rsid w:val="00122E55"/>
    <w:rsid w:val="00123858"/>
    <w:rsid w:val="001243CD"/>
    <w:rsid w:val="00125299"/>
    <w:rsid w:val="0012549C"/>
    <w:rsid w:val="00126D2E"/>
    <w:rsid w:val="0012736F"/>
    <w:rsid w:val="001277D9"/>
    <w:rsid w:val="001278DE"/>
    <w:rsid w:val="001305FC"/>
    <w:rsid w:val="00130E6F"/>
    <w:rsid w:val="001314BB"/>
    <w:rsid w:val="001322AD"/>
    <w:rsid w:val="0013246E"/>
    <w:rsid w:val="00132D2A"/>
    <w:rsid w:val="00133087"/>
    <w:rsid w:val="0013382F"/>
    <w:rsid w:val="001350CE"/>
    <w:rsid w:val="001356F1"/>
    <w:rsid w:val="0013594E"/>
    <w:rsid w:val="001369BD"/>
    <w:rsid w:val="00136B11"/>
    <w:rsid w:val="00136F8C"/>
    <w:rsid w:val="00140063"/>
    <w:rsid w:val="001406AE"/>
    <w:rsid w:val="00140F4F"/>
    <w:rsid w:val="001439B9"/>
    <w:rsid w:val="00144054"/>
    <w:rsid w:val="001444AB"/>
    <w:rsid w:val="00144C8F"/>
    <w:rsid w:val="00145333"/>
    <w:rsid w:val="00145F07"/>
    <w:rsid w:val="00146EFE"/>
    <w:rsid w:val="00146F98"/>
    <w:rsid w:val="00151473"/>
    <w:rsid w:val="00151DD7"/>
    <w:rsid w:val="001549DF"/>
    <w:rsid w:val="00155B7A"/>
    <w:rsid w:val="0015661A"/>
    <w:rsid w:val="0015796F"/>
    <w:rsid w:val="00160DD3"/>
    <w:rsid w:val="0016321C"/>
    <w:rsid w:val="001650C9"/>
    <w:rsid w:val="00172A27"/>
    <w:rsid w:val="00172FCE"/>
    <w:rsid w:val="0017392F"/>
    <w:rsid w:val="00174DB7"/>
    <w:rsid w:val="0017554C"/>
    <w:rsid w:val="00176D3D"/>
    <w:rsid w:val="00177B22"/>
    <w:rsid w:val="00180BE2"/>
    <w:rsid w:val="00181646"/>
    <w:rsid w:val="00181AD1"/>
    <w:rsid w:val="00182186"/>
    <w:rsid w:val="00182637"/>
    <w:rsid w:val="00182B4D"/>
    <w:rsid w:val="0018463C"/>
    <w:rsid w:val="00184E4B"/>
    <w:rsid w:val="00185E8F"/>
    <w:rsid w:val="00186A2C"/>
    <w:rsid w:val="00190A74"/>
    <w:rsid w:val="00190B4B"/>
    <w:rsid w:val="00190C28"/>
    <w:rsid w:val="00190DBB"/>
    <w:rsid w:val="001922E2"/>
    <w:rsid w:val="00193311"/>
    <w:rsid w:val="00193408"/>
    <w:rsid w:val="00194AA6"/>
    <w:rsid w:val="00194AE3"/>
    <w:rsid w:val="00194DF9"/>
    <w:rsid w:val="001951BE"/>
    <w:rsid w:val="0019606E"/>
    <w:rsid w:val="00197C1C"/>
    <w:rsid w:val="001A093D"/>
    <w:rsid w:val="001A16A2"/>
    <w:rsid w:val="001A1819"/>
    <w:rsid w:val="001A1F8A"/>
    <w:rsid w:val="001A2133"/>
    <w:rsid w:val="001A29CA"/>
    <w:rsid w:val="001A7223"/>
    <w:rsid w:val="001A77ED"/>
    <w:rsid w:val="001A7825"/>
    <w:rsid w:val="001A7D51"/>
    <w:rsid w:val="001B04B2"/>
    <w:rsid w:val="001B32F6"/>
    <w:rsid w:val="001B67A1"/>
    <w:rsid w:val="001C0361"/>
    <w:rsid w:val="001C1352"/>
    <w:rsid w:val="001C200B"/>
    <w:rsid w:val="001C292B"/>
    <w:rsid w:val="001C3C00"/>
    <w:rsid w:val="001C583F"/>
    <w:rsid w:val="001D05C7"/>
    <w:rsid w:val="001D0B74"/>
    <w:rsid w:val="001D0E65"/>
    <w:rsid w:val="001D18E8"/>
    <w:rsid w:val="001D1A63"/>
    <w:rsid w:val="001D4553"/>
    <w:rsid w:val="001D4B3E"/>
    <w:rsid w:val="001D4FDA"/>
    <w:rsid w:val="001D65D5"/>
    <w:rsid w:val="001D673B"/>
    <w:rsid w:val="001D6E9C"/>
    <w:rsid w:val="001E1B69"/>
    <w:rsid w:val="001E221F"/>
    <w:rsid w:val="001E2320"/>
    <w:rsid w:val="001E2757"/>
    <w:rsid w:val="001E3BB5"/>
    <w:rsid w:val="001E5D62"/>
    <w:rsid w:val="001E638F"/>
    <w:rsid w:val="001E6D51"/>
    <w:rsid w:val="001E783B"/>
    <w:rsid w:val="001E7A5A"/>
    <w:rsid w:val="001E7C14"/>
    <w:rsid w:val="001E7E18"/>
    <w:rsid w:val="001E7E1E"/>
    <w:rsid w:val="001F00B9"/>
    <w:rsid w:val="001F05E7"/>
    <w:rsid w:val="001F1CF5"/>
    <w:rsid w:val="001F1F69"/>
    <w:rsid w:val="001F29E8"/>
    <w:rsid w:val="001F2E32"/>
    <w:rsid w:val="001F4221"/>
    <w:rsid w:val="001F59C8"/>
    <w:rsid w:val="001F5A3C"/>
    <w:rsid w:val="00200675"/>
    <w:rsid w:val="00201B80"/>
    <w:rsid w:val="0020331E"/>
    <w:rsid w:val="002033F7"/>
    <w:rsid w:val="00204105"/>
    <w:rsid w:val="002042AE"/>
    <w:rsid w:val="002046D4"/>
    <w:rsid w:val="00204C8D"/>
    <w:rsid w:val="00205937"/>
    <w:rsid w:val="00205E17"/>
    <w:rsid w:val="00206B65"/>
    <w:rsid w:val="0020732D"/>
    <w:rsid w:val="00207FED"/>
    <w:rsid w:val="002114E2"/>
    <w:rsid w:val="00211B1D"/>
    <w:rsid w:val="002125D8"/>
    <w:rsid w:val="00212CF6"/>
    <w:rsid w:val="0021414F"/>
    <w:rsid w:val="00214600"/>
    <w:rsid w:val="00214AEF"/>
    <w:rsid w:val="00214CF3"/>
    <w:rsid w:val="002155D4"/>
    <w:rsid w:val="002163E0"/>
    <w:rsid w:val="00216845"/>
    <w:rsid w:val="00217292"/>
    <w:rsid w:val="002173FD"/>
    <w:rsid w:val="0022151F"/>
    <w:rsid w:val="00221E15"/>
    <w:rsid w:val="00222221"/>
    <w:rsid w:val="00230744"/>
    <w:rsid w:val="00230AB4"/>
    <w:rsid w:val="00231320"/>
    <w:rsid w:val="00231B07"/>
    <w:rsid w:val="002326A0"/>
    <w:rsid w:val="002326D3"/>
    <w:rsid w:val="00233012"/>
    <w:rsid w:val="0023410B"/>
    <w:rsid w:val="002345F1"/>
    <w:rsid w:val="00235BC7"/>
    <w:rsid w:val="00237F01"/>
    <w:rsid w:val="002425BE"/>
    <w:rsid w:val="00243666"/>
    <w:rsid w:val="002440C0"/>
    <w:rsid w:val="00244DB8"/>
    <w:rsid w:val="00244EF5"/>
    <w:rsid w:val="002459A4"/>
    <w:rsid w:val="00247C71"/>
    <w:rsid w:val="00247CEA"/>
    <w:rsid w:val="0025135B"/>
    <w:rsid w:val="002527A5"/>
    <w:rsid w:val="00255576"/>
    <w:rsid w:val="00255C1E"/>
    <w:rsid w:val="0025625B"/>
    <w:rsid w:val="00256A21"/>
    <w:rsid w:val="00260D0E"/>
    <w:rsid w:val="002613B1"/>
    <w:rsid w:val="00265EB2"/>
    <w:rsid w:val="0026687E"/>
    <w:rsid w:val="00266DCC"/>
    <w:rsid w:val="00267CE1"/>
    <w:rsid w:val="00270AC3"/>
    <w:rsid w:val="00271174"/>
    <w:rsid w:val="0027263E"/>
    <w:rsid w:val="00272B6E"/>
    <w:rsid w:val="00275943"/>
    <w:rsid w:val="00276566"/>
    <w:rsid w:val="002766F3"/>
    <w:rsid w:val="00276D8D"/>
    <w:rsid w:val="0028005C"/>
    <w:rsid w:val="00280759"/>
    <w:rsid w:val="00280852"/>
    <w:rsid w:val="00282F8A"/>
    <w:rsid w:val="00283554"/>
    <w:rsid w:val="00284586"/>
    <w:rsid w:val="002845ED"/>
    <w:rsid w:val="002849FE"/>
    <w:rsid w:val="002861C0"/>
    <w:rsid w:val="00286683"/>
    <w:rsid w:val="00286742"/>
    <w:rsid w:val="00286CDE"/>
    <w:rsid w:val="0029008F"/>
    <w:rsid w:val="0029062C"/>
    <w:rsid w:val="00292182"/>
    <w:rsid w:val="00294433"/>
    <w:rsid w:val="00296882"/>
    <w:rsid w:val="002A1B49"/>
    <w:rsid w:val="002A1D01"/>
    <w:rsid w:val="002A3645"/>
    <w:rsid w:val="002A369D"/>
    <w:rsid w:val="002A4102"/>
    <w:rsid w:val="002A575B"/>
    <w:rsid w:val="002A5B81"/>
    <w:rsid w:val="002A6A11"/>
    <w:rsid w:val="002A7E1D"/>
    <w:rsid w:val="002A7F1D"/>
    <w:rsid w:val="002B0331"/>
    <w:rsid w:val="002B11F0"/>
    <w:rsid w:val="002B2BFF"/>
    <w:rsid w:val="002B2E4D"/>
    <w:rsid w:val="002B4F15"/>
    <w:rsid w:val="002B50D0"/>
    <w:rsid w:val="002B5642"/>
    <w:rsid w:val="002B6124"/>
    <w:rsid w:val="002C0A12"/>
    <w:rsid w:val="002C28C0"/>
    <w:rsid w:val="002C2D23"/>
    <w:rsid w:val="002C3C38"/>
    <w:rsid w:val="002C6397"/>
    <w:rsid w:val="002C6C59"/>
    <w:rsid w:val="002C7488"/>
    <w:rsid w:val="002C7962"/>
    <w:rsid w:val="002D07E7"/>
    <w:rsid w:val="002D0B16"/>
    <w:rsid w:val="002D0E95"/>
    <w:rsid w:val="002D1D09"/>
    <w:rsid w:val="002D2367"/>
    <w:rsid w:val="002D418A"/>
    <w:rsid w:val="002D5D36"/>
    <w:rsid w:val="002D65D7"/>
    <w:rsid w:val="002D72D5"/>
    <w:rsid w:val="002E0B8B"/>
    <w:rsid w:val="002E1B58"/>
    <w:rsid w:val="002E25B3"/>
    <w:rsid w:val="002E27C0"/>
    <w:rsid w:val="002E2C59"/>
    <w:rsid w:val="002E3CB8"/>
    <w:rsid w:val="002E3F09"/>
    <w:rsid w:val="002E424C"/>
    <w:rsid w:val="002E52E5"/>
    <w:rsid w:val="002E6C5D"/>
    <w:rsid w:val="002E715D"/>
    <w:rsid w:val="002E7435"/>
    <w:rsid w:val="002F0350"/>
    <w:rsid w:val="002F03A1"/>
    <w:rsid w:val="002F05C8"/>
    <w:rsid w:val="002F2319"/>
    <w:rsid w:val="002F28F8"/>
    <w:rsid w:val="002F308D"/>
    <w:rsid w:val="002F4ABE"/>
    <w:rsid w:val="002F59BB"/>
    <w:rsid w:val="002F5A02"/>
    <w:rsid w:val="002F6889"/>
    <w:rsid w:val="002F7E6A"/>
    <w:rsid w:val="00300194"/>
    <w:rsid w:val="0030099E"/>
    <w:rsid w:val="00300AA1"/>
    <w:rsid w:val="00302892"/>
    <w:rsid w:val="0030348E"/>
    <w:rsid w:val="00304FDC"/>
    <w:rsid w:val="00306350"/>
    <w:rsid w:val="00307001"/>
    <w:rsid w:val="003073E6"/>
    <w:rsid w:val="003105F8"/>
    <w:rsid w:val="00312AAD"/>
    <w:rsid w:val="00312BC9"/>
    <w:rsid w:val="00313A96"/>
    <w:rsid w:val="00314160"/>
    <w:rsid w:val="003145C8"/>
    <w:rsid w:val="00315C72"/>
    <w:rsid w:val="00316951"/>
    <w:rsid w:val="00316B60"/>
    <w:rsid w:val="00316F87"/>
    <w:rsid w:val="003175FC"/>
    <w:rsid w:val="003176F3"/>
    <w:rsid w:val="003178D4"/>
    <w:rsid w:val="00317E42"/>
    <w:rsid w:val="00320D6B"/>
    <w:rsid w:val="00321A54"/>
    <w:rsid w:val="00321F80"/>
    <w:rsid w:val="003229B4"/>
    <w:rsid w:val="00323E88"/>
    <w:rsid w:val="00325642"/>
    <w:rsid w:val="00326011"/>
    <w:rsid w:val="003267C0"/>
    <w:rsid w:val="003270C1"/>
    <w:rsid w:val="003272E2"/>
    <w:rsid w:val="00327C33"/>
    <w:rsid w:val="003304EC"/>
    <w:rsid w:val="003305C2"/>
    <w:rsid w:val="00332823"/>
    <w:rsid w:val="00334A1C"/>
    <w:rsid w:val="00334D04"/>
    <w:rsid w:val="00336A95"/>
    <w:rsid w:val="00336B7E"/>
    <w:rsid w:val="0034005F"/>
    <w:rsid w:val="00340598"/>
    <w:rsid w:val="00340CA3"/>
    <w:rsid w:val="00340FD1"/>
    <w:rsid w:val="00341C40"/>
    <w:rsid w:val="00341EEE"/>
    <w:rsid w:val="0034207C"/>
    <w:rsid w:val="0034236A"/>
    <w:rsid w:val="00342431"/>
    <w:rsid w:val="00342CC5"/>
    <w:rsid w:val="0034330A"/>
    <w:rsid w:val="00343F0C"/>
    <w:rsid w:val="003442F8"/>
    <w:rsid w:val="003449F5"/>
    <w:rsid w:val="00344FF1"/>
    <w:rsid w:val="0034561D"/>
    <w:rsid w:val="0034584A"/>
    <w:rsid w:val="00346695"/>
    <w:rsid w:val="003468DA"/>
    <w:rsid w:val="00347599"/>
    <w:rsid w:val="00347746"/>
    <w:rsid w:val="003530B9"/>
    <w:rsid w:val="003536F9"/>
    <w:rsid w:val="003579E9"/>
    <w:rsid w:val="00357AB1"/>
    <w:rsid w:val="00357E4A"/>
    <w:rsid w:val="00360A48"/>
    <w:rsid w:val="00360E8B"/>
    <w:rsid w:val="00361082"/>
    <w:rsid w:val="00361E42"/>
    <w:rsid w:val="00363941"/>
    <w:rsid w:val="003641A6"/>
    <w:rsid w:val="00365242"/>
    <w:rsid w:val="00365A37"/>
    <w:rsid w:val="0037074E"/>
    <w:rsid w:val="003716BD"/>
    <w:rsid w:val="0037200A"/>
    <w:rsid w:val="00373768"/>
    <w:rsid w:val="00373E20"/>
    <w:rsid w:val="00374088"/>
    <w:rsid w:val="00374B64"/>
    <w:rsid w:val="00375424"/>
    <w:rsid w:val="003759E3"/>
    <w:rsid w:val="00375EF7"/>
    <w:rsid w:val="0037685F"/>
    <w:rsid w:val="00377217"/>
    <w:rsid w:val="003805B8"/>
    <w:rsid w:val="00380BEC"/>
    <w:rsid w:val="00380E97"/>
    <w:rsid w:val="00381547"/>
    <w:rsid w:val="003843B4"/>
    <w:rsid w:val="0038522C"/>
    <w:rsid w:val="00385457"/>
    <w:rsid w:val="00386506"/>
    <w:rsid w:val="003915D6"/>
    <w:rsid w:val="00393E8C"/>
    <w:rsid w:val="0039408B"/>
    <w:rsid w:val="003941D5"/>
    <w:rsid w:val="003945A8"/>
    <w:rsid w:val="003955F0"/>
    <w:rsid w:val="00395EE5"/>
    <w:rsid w:val="003961A6"/>
    <w:rsid w:val="0039711A"/>
    <w:rsid w:val="0039724E"/>
    <w:rsid w:val="003A115D"/>
    <w:rsid w:val="003A1DB6"/>
    <w:rsid w:val="003A2157"/>
    <w:rsid w:val="003A23CD"/>
    <w:rsid w:val="003A2404"/>
    <w:rsid w:val="003A2A7F"/>
    <w:rsid w:val="003A32D5"/>
    <w:rsid w:val="003A3ED5"/>
    <w:rsid w:val="003A3F01"/>
    <w:rsid w:val="003A5005"/>
    <w:rsid w:val="003A5C2F"/>
    <w:rsid w:val="003A6424"/>
    <w:rsid w:val="003A6E78"/>
    <w:rsid w:val="003B099F"/>
    <w:rsid w:val="003B1083"/>
    <w:rsid w:val="003B1698"/>
    <w:rsid w:val="003B19DA"/>
    <w:rsid w:val="003B2A11"/>
    <w:rsid w:val="003B4548"/>
    <w:rsid w:val="003B47F2"/>
    <w:rsid w:val="003B4B7F"/>
    <w:rsid w:val="003B561C"/>
    <w:rsid w:val="003B67A4"/>
    <w:rsid w:val="003B6D46"/>
    <w:rsid w:val="003C0512"/>
    <w:rsid w:val="003C0A80"/>
    <w:rsid w:val="003C36D7"/>
    <w:rsid w:val="003C409B"/>
    <w:rsid w:val="003C47B2"/>
    <w:rsid w:val="003C48FC"/>
    <w:rsid w:val="003C4A00"/>
    <w:rsid w:val="003C5067"/>
    <w:rsid w:val="003C5C6B"/>
    <w:rsid w:val="003C67C0"/>
    <w:rsid w:val="003C697E"/>
    <w:rsid w:val="003C69AC"/>
    <w:rsid w:val="003C7232"/>
    <w:rsid w:val="003C73A6"/>
    <w:rsid w:val="003C7F3A"/>
    <w:rsid w:val="003D15B6"/>
    <w:rsid w:val="003D1DD8"/>
    <w:rsid w:val="003D218C"/>
    <w:rsid w:val="003D325F"/>
    <w:rsid w:val="003D3BEF"/>
    <w:rsid w:val="003D3DB8"/>
    <w:rsid w:val="003D572F"/>
    <w:rsid w:val="003D6CB6"/>
    <w:rsid w:val="003D6CCA"/>
    <w:rsid w:val="003D7269"/>
    <w:rsid w:val="003D758D"/>
    <w:rsid w:val="003D7DEF"/>
    <w:rsid w:val="003E0064"/>
    <w:rsid w:val="003E0718"/>
    <w:rsid w:val="003E0B1F"/>
    <w:rsid w:val="003E2AA0"/>
    <w:rsid w:val="003E2FA7"/>
    <w:rsid w:val="003E5522"/>
    <w:rsid w:val="003E55CD"/>
    <w:rsid w:val="003E6179"/>
    <w:rsid w:val="003E62ED"/>
    <w:rsid w:val="003E71B7"/>
    <w:rsid w:val="003F006A"/>
    <w:rsid w:val="003F1A87"/>
    <w:rsid w:val="003F273D"/>
    <w:rsid w:val="003F393F"/>
    <w:rsid w:val="003F3D8A"/>
    <w:rsid w:val="003F455E"/>
    <w:rsid w:val="003F5214"/>
    <w:rsid w:val="003F585F"/>
    <w:rsid w:val="003F7074"/>
    <w:rsid w:val="0040086F"/>
    <w:rsid w:val="00400CBB"/>
    <w:rsid w:val="00400DAB"/>
    <w:rsid w:val="00402A2D"/>
    <w:rsid w:val="00402E6A"/>
    <w:rsid w:val="00403EAD"/>
    <w:rsid w:val="00404D84"/>
    <w:rsid w:val="0040723C"/>
    <w:rsid w:val="00407A49"/>
    <w:rsid w:val="00407C07"/>
    <w:rsid w:val="00407E6B"/>
    <w:rsid w:val="00411907"/>
    <w:rsid w:val="00411D59"/>
    <w:rsid w:val="00412536"/>
    <w:rsid w:val="00412E67"/>
    <w:rsid w:val="00414D20"/>
    <w:rsid w:val="00414F6C"/>
    <w:rsid w:val="00415C9B"/>
    <w:rsid w:val="0041659E"/>
    <w:rsid w:val="00417819"/>
    <w:rsid w:val="004201E3"/>
    <w:rsid w:val="00424053"/>
    <w:rsid w:val="004254B5"/>
    <w:rsid w:val="0042571B"/>
    <w:rsid w:val="0042595C"/>
    <w:rsid w:val="00425E93"/>
    <w:rsid w:val="00426978"/>
    <w:rsid w:val="00426C42"/>
    <w:rsid w:val="004275A9"/>
    <w:rsid w:val="004277D1"/>
    <w:rsid w:val="004279C2"/>
    <w:rsid w:val="00430C4F"/>
    <w:rsid w:val="00430DEA"/>
    <w:rsid w:val="00430E81"/>
    <w:rsid w:val="004334A0"/>
    <w:rsid w:val="004335E2"/>
    <w:rsid w:val="00433E00"/>
    <w:rsid w:val="00434058"/>
    <w:rsid w:val="00436245"/>
    <w:rsid w:val="00436C49"/>
    <w:rsid w:val="00437C5C"/>
    <w:rsid w:val="00440244"/>
    <w:rsid w:val="00440C28"/>
    <w:rsid w:val="00440ED3"/>
    <w:rsid w:val="00441772"/>
    <w:rsid w:val="00442507"/>
    <w:rsid w:val="00442AEE"/>
    <w:rsid w:val="00442E0F"/>
    <w:rsid w:val="004430A8"/>
    <w:rsid w:val="00444F11"/>
    <w:rsid w:val="004477AB"/>
    <w:rsid w:val="0045018C"/>
    <w:rsid w:val="00450FEB"/>
    <w:rsid w:val="00451CD3"/>
    <w:rsid w:val="00451EDD"/>
    <w:rsid w:val="004525DA"/>
    <w:rsid w:val="0045369F"/>
    <w:rsid w:val="00453EB5"/>
    <w:rsid w:val="00454783"/>
    <w:rsid w:val="00455D85"/>
    <w:rsid w:val="004571E9"/>
    <w:rsid w:val="00457437"/>
    <w:rsid w:val="004612AE"/>
    <w:rsid w:val="00462405"/>
    <w:rsid w:val="00462666"/>
    <w:rsid w:val="00462838"/>
    <w:rsid w:val="00462B5A"/>
    <w:rsid w:val="00463218"/>
    <w:rsid w:val="004635A3"/>
    <w:rsid w:val="0046404A"/>
    <w:rsid w:val="00464597"/>
    <w:rsid w:val="00464AD4"/>
    <w:rsid w:val="004655A4"/>
    <w:rsid w:val="00466C75"/>
    <w:rsid w:val="00466F5F"/>
    <w:rsid w:val="00470781"/>
    <w:rsid w:val="004717B9"/>
    <w:rsid w:val="00471DFC"/>
    <w:rsid w:val="0047330F"/>
    <w:rsid w:val="00473846"/>
    <w:rsid w:val="00473B85"/>
    <w:rsid w:val="00474693"/>
    <w:rsid w:val="00474BF2"/>
    <w:rsid w:val="004754F6"/>
    <w:rsid w:val="00475F53"/>
    <w:rsid w:val="0047615D"/>
    <w:rsid w:val="004771E0"/>
    <w:rsid w:val="004776EB"/>
    <w:rsid w:val="00477B6E"/>
    <w:rsid w:val="00481043"/>
    <w:rsid w:val="004814CE"/>
    <w:rsid w:val="00481C54"/>
    <w:rsid w:val="0048238A"/>
    <w:rsid w:val="00482DC6"/>
    <w:rsid w:val="00483014"/>
    <w:rsid w:val="004830AC"/>
    <w:rsid w:val="004848A8"/>
    <w:rsid w:val="00484CAA"/>
    <w:rsid w:val="004850C6"/>
    <w:rsid w:val="00485F30"/>
    <w:rsid w:val="00486F8F"/>
    <w:rsid w:val="00487C08"/>
    <w:rsid w:val="004902C4"/>
    <w:rsid w:val="00490340"/>
    <w:rsid w:val="004908EE"/>
    <w:rsid w:val="00493072"/>
    <w:rsid w:val="004932AA"/>
    <w:rsid w:val="00494526"/>
    <w:rsid w:val="004947C9"/>
    <w:rsid w:val="00494BB8"/>
    <w:rsid w:val="00495507"/>
    <w:rsid w:val="004960B4"/>
    <w:rsid w:val="00496636"/>
    <w:rsid w:val="00496712"/>
    <w:rsid w:val="004A17F3"/>
    <w:rsid w:val="004A3CD1"/>
    <w:rsid w:val="004A42EC"/>
    <w:rsid w:val="004A4519"/>
    <w:rsid w:val="004A4C87"/>
    <w:rsid w:val="004A4D80"/>
    <w:rsid w:val="004A53A0"/>
    <w:rsid w:val="004A7271"/>
    <w:rsid w:val="004B1334"/>
    <w:rsid w:val="004B137A"/>
    <w:rsid w:val="004B29ED"/>
    <w:rsid w:val="004B2F53"/>
    <w:rsid w:val="004B4C44"/>
    <w:rsid w:val="004B6646"/>
    <w:rsid w:val="004B7954"/>
    <w:rsid w:val="004B7E43"/>
    <w:rsid w:val="004C1804"/>
    <w:rsid w:val="004C44B6"/>
    <w:rsid w:val="004C7336"/>
    <w:rsid w:val="004D01D5"/>
    <w:rsid w:val="004D109E"/>
    <w:rsid w:val="004D1740"/>
    <w:rsid w:val="004D2935"/>
    <w:rsid w:val="004D2AF5"/>
    <w:rsid w:val="004D2E16"/>
    <w:rsid w:val="004D31B0"/>
    <w:rsid w:val="004D38F9"/>
    <w:rsid w:val="004D51D6"/>
    <w:rsid w:val="004D5B27"/>
    <w:rsid w:val="004D6D03"/>
    <w:rsid w:val="004E0EAA"/>
    <w:rsid w:val="004E177E"/>
    <w:rsid w:val="004E3F70"/>
    <w:rsid w:val="004E48A9"/>
    <w:rsid w:val="004E67F0"/>
    <w:rsid w:val="004E740F"/>
    <w:rsid w:val="004F0AF1"/>
    <w:rsid w:val="004F0AF5"/>
    <w:rsid w:val="004F1C57"/>
    <w:rsid w:val="004F21AA"/>
    <w:rsid w:val="004F321C"/>
    <w:rsid w:val="004F357E"/>
    <w:rsid w:val="004F391B"/>
    <w:rsid w:val="004F3EF0"/>
    <w:rsid w:val="004F4148"/>
    <w:rsid w:val="004F4C6B"/>
    <w:rsid w:val="004F555F"/>
    <w:rsid w:val="004F5D55"/>
    <w:rsid w:val="004F5D6D"/>
    <w:rsid w:val="004F5E6E"/>
    <w:rsid w:val="004F617B"/>
    <w:rsid w:val="004F77FD"/>
    <w:rsid w:val="004F78AA"/>
    <w:rsid w:val="004F7971"/>
    <w:rsid w:val="0050055B"/>
    <w:rsid w:val="005009BC"/>
    <w:rsid w:val="0050100C"/>
    <w:rsid w:val="005013D8"/>
    <w:rsid w:val="00501705"/>
    <w:rsid w:val="00501EEE"/>
    <w:rsid w:val="005023F9"/>
    <w:rsid w:val="00502B96"/>
    <w:rsid w:val="00502D82"/>
    <w:rsid w:val="00503EDB"/>
    <w:rsid w:val="00503FFA"/>
    <w:rsid w:val="00504102"/>
    <w:rsid w:val="0050460A"/>
    <w:rsid w:val="0050509E"/>
    <w:rsid w:val="00505844"/>
    <w:rsid w:val="0051011A"/>
    <w:rsid w:val="0051089F"/>
    <w:rsid w:val="00510DE4"/>
    <w:rsid w:val="00512A20"/>
    <w:rsid w:val="00515095"/>
    <w:rsid w:val="005150A2"/>
    <w:rsid w:val="00515719"/>
    <w:rsid w:val="005157BF"/>
    <w:rsid w:val="0051711F"/>
    <w:rsid w:val="005204F4"/>
    <w:rsid w:val="0052089E"/>
    <w:rsid w:val="005208E7"/>
    <w:rsid w:val="005213A2"/>
    <w:rsid w:val="0052199A"/>
    <w:rsid w:val="00526EC2"/>
    <w:rsid w:val="005310FD"/>
    <w:rsid w:val="00531FB1"/>
    <w:rsid w:val="00533ABC"/>
    <w:rsid w:val="00534B9F"/>
    <w:rsid w:val="00534ECE"/>
    <w:rsid w:val="0053529B"/>
    <w:rsid w:val="005356F8"/>
    <w:rsid w:val="00535F7C"/>
    <w:rsid w:val="0054028E"/>
    <w:rsid w:val="00540574"/>
    <w:rsid w:val="00540A01"/>
    <w:rsid w:val="00540E57"/>
    <w:rsid w:val="005416D2"/>
    <w:rsid w:val="00542EB0"/>
    <w:rsid w:val="00543E12"/>
    <w:rsid w:val="00544666"/>
    <w:rsid w:val="0054573A"/>
    <w:rsid w:val="00545D58"/>
    <w:rsid w:val="00547F73"/>
    <w:rsid w:val="0055013A"/>
    <w:rsid w:val="00550CB9"/>
    <w:rsid w:val="00551694"/>
    <w:rsid w:val="00552F4F"/>
    <w:rsid w:val="005530A2"/>
    <w:rsid w:val="005548B0"/>
    <w:rsid w:val="00555612"/>
    <w:rsid w:val="005563E8"/>
    <w:rsid w:val="005569C0"/>
    <w:rsid w:val="00556B98"/>
    <w:rsid w:val="00557248"/>
    <w:rsid w:val="00557B54"/>
    <w:rsid w:val="00557C37"/>
    <w:rsid w:val="00560010"/>
    <w:rsid w:val="0056045A"/>
    <w:rsid w:val="00560A1D"/>
    <w:rsid w:val="00562062"/>
    <w:rsid w:val="00564741"/>
    <w:rsid w:val="00564C60"/>
    <w:rsid w:val="00564C7F"/>
    <w:rsid w:val="005702CF"/>
    <w:rsid w:val="00570C4D"/>
    <w:rsid w:val="00570EB7"/>
    <w:rsid w:val="00571033"/>
    <w:rsid w:val="0057199E"/>
    <w:rsid w:val="00571CCA"/>
    <w:rsid w:val="00571E5B"/>
    <w:rsid w:val="0057208B"/>
    <w:rsid w:val="00572FB2"/>
    <w:rsid w:val="00576304"/>
    <w:rsid w:val="005778CA"/>
    <w:rsid w:val="00577E85"/>
    <w:rsid w:val="00580FCF"/>
    <w:rsid w:val="00581045"/>
    <w:rsid w:val="005811AC"/>
    <w:rsid w:val="00582B61"/>
    <w:rsid w:val="00583EF3"/>
    <w:rsid w:val="00585029"/>
    <w:rsid w:val="0058661D"/>
    <w:rsid w:val="00590276"/>
    <w:rsid w:val="005909F8"/>
    <w:rsid w:val="0059245A"/>
    <w:rsid w:val="0059278E"/>
    <w:rsid w:val="00592AEB"/>
    <w:rsid w:val="00592DED"/>
    <w:rsid w:val="00593B13"/>
    <w:rsid w:val="0059427F"/>
    <w:rsid w:val="00594AA9"/>
    <w:rsid w:val="005950D8"/>
    <w:rsid w:val="00595666"/>
    <w:rsid w:val="00596035"/>
    <w:rsid w:val="005961B3"/>
    <w:rsid w:val="005A07E5"/>
    <w:rsid w:val="005A0D86"/>
    <w:rsid w:val="005A1303"/>
    <w:rsid w:val="005A2FE1"/>
    <w:rsid w:val="005A45DD"/>
    <w:rsid w:val="005A4BAC"/>
    <w:rsid w:val="005A6284"/>
    <w:rsid w:val="005A6940"/>
    <w:rsid w:val="005A6CB5"/>
    <w:rsid w:val="005A6FB7"/>
    <w:rsid w:val="005A7CD8"/>
    <w:rsid w:val="005B0DDA"/>
    <w:rsid w:val="005B1193"/>
    <w:rsid w:val="005B1F74"/>
    <w:rsid w:val="005B217C"/>
    <w:rsid w:val="005B3501"/>
    <w:rsid w:val="005B3CFC"/>
    <w:rsid w:val="005B3E17"/>
    <w:rsid w:val="005B70E6"/>
    <w:rsid w:val="005B7CCF"/>
    <w:rsid w:val="005C05F6"/>
    <w:rsid w:val="005C0847"/>
    <w:rsid w:val="005C0A40"/>
    <w:rsid w:val="005C0D8E"/>
    <w:rsid w:val="005C29F5"/>
    <w:rsid w:val="005C2C6E"/>
    <w:rsid w:val="005C2E40"/>
    <w:rsid w:val="005C320A"/>
    <w:rsid w:val="005C3220"/>
    <w:rsid w:val="005C49F1"/>
    <w:rsid w:val="005C549E"/>
    <w:rsid w:val="005C55F3"/>
    <w:rsid w:val="005C61F5"/>
    <w:rsid w:val="005C6465"/>
    <w:rsid w:val="005C7231"/>
    <w:rsid w:val="005D0C7C"/>
    <w:rsid w:val="005D4C42"/>
    <w:rsid w:val="005D5165"/>
    <w:rsid w:val="005D6DB7"/>
    <w:rsid w:val="005D7CDC"/>
    <w:rsid w:val="005E173A"/>
    <w:rsid w:val="005E17E9"/>
    <w:rsid w:val="005E30CD"/>
    <w:rsid w:val="005E3CFF"/>
    <w:rsid w:val="005E3FF1"/>
    <w:rsid w:val="005E4AF7"/>
    <w:rsid w:val="005E4C4D"/>
    <w:rsid w:val="005E6BE3"/>
    <w:rsid w:val="005E72FE"/>
    <w:rsid w:val="005E78F7"/>
    <w:rsid w:val="005E7A69"/>
    <w:rsid w:val="005E7EDD"/>
    <w:rsid w:val="005F19DA"/>
    <w:rsid w:val="005F1EE6"/>
    <w:rsid w:val="005F23AC"/>
    <w:rsid w:val="005F245E"/>
    <w:rsid w:val="005F2782"/>
    <w:rsid w:val="005F2A35"/>
    <w:rsid w:val="005F3C04"/>
    <w:rsid w:val="005F4DBF"/>
    <w:rsid w:val="005F6E6B"/>
    <w:rsid w:val="005F6F5B"/>
    <w:rsid w:val="005F73D4"/>
    <w:rsid w:val="00601110"/>
    <w:rsid w:val="0060129B"/>
    <w:rsid w:val="00602156"/>
    <w:rsid w:val="00602572"/>
    <w:rsid w:val="00602AE4"/>
    <w:rsid w:val="00602D48"/>
    <w:rsid w:val="00603163"/>
    <w:rsid w:val="006034C2"/>
    <w:rsid w:val="00603597"/>
    <w:rsid w:val="00604BD4"/>
    <w:rsid w:val="006052CB"/>
    <w:rsid w:val="006062FD"/>
    <w:rsid w:val="00607D22"/>
    <w:rsid w:val="006111F9"/>
    <w:rsid w:val="00613A29"/>
    <w:rsid w:val="00616647"/>
    <w:rsid w:val="00617DA4"/>
    <w:rsid w:val="00620B6C"/>
    <w:rsid w:val="006224A1"/>
    <w:rsid w:val="006224D2"/>
    <w:rsid w:val="00622C4D"/>
    <w:rsid w:val="006235ED"/>
    <w:rsid w:val="00625136"/>
    <w:rsid w:val="00625881"/>
    <w:rsid w:val="00625D58"/>
    <w:rsid w:val="00630419"/>
    <w:rsid w:val="006305FB"/>
    <w:rsid w:val="00630BFB"/>
    <w:rsid w:val="00630CDE"/>
    <w:rsid w:val="006323AB"/>
    <w:rsid w:val="00633411"/>
    <w:rsid w:val="00633645"/>
    <w:rsid w:val="00634FEC"/>
    <w:rsid w:val="00636352"/>
    <w:rsid w:val="00636A78"/>
    <w:rsid w:val="00636EF9"/>
    <w:rsid w:val="00637858"/>
    <w:rsid w:val="00641B1F"/>
    <w:rsid w:val="00641B23"/>
    <w:rsid w:val="00641CA8"/>
    <w:rsid w:val="0064228F"/>
    <w:rsid w:val="00642761"/>
    <w:rsid w:val="00642CDB"/>
    <w:rsid w:val="00642F00"/>
    <w:rsid w:val="006437A6"/>
    <w:rsid w:val="00643B92"/>
    <w:rsid w:val="00650A19"/>
    <w:rsid w:val="00651002"/>
    <w:rsid w:val="00651696"/>
    <w:rsid w:val="006541A1"/>
    <w:rsid w:val="0065461A"/>
    <w:rsid w:val="006614AF"/>
    <w:rsid w:val="006617FB"/>
    <w:rsid w:val="006633DB"/>
    <w:rsid w:val="006634B3"/>
    <w:rsid w:val="00664042"/>
    <w:rsid w:val="00670706"/>
    <w:rsid w:val="0067172F"/>
    <w:rsid w:val="00671FD6"/>
    <w:rsid w:val="00672BFD"/>
    <w:rsid w:val="0067489E"/>
    <w:rsid w:val="006778B6"/>
    <w:rsid w:val="006816DC"/>
    <w:rsid w:val="00682527"/>
    <w:rsid w:val="00682B0F"/>
    <w:rsid w:val="00682D4F"/>
    <w:rsid w:val="0068346E"/>
    <w:rsid w:val="00685456"/>
    <w:rsid w:val="00686A8C"/>
    <w:rsid w:val="00687B99"/>
    <w:rsid w:val="00687F72"/>
    <w:rsid w:val="00693A66"/>
    <w:rsid w:val="006950AF"/>
    <w:rsid w:val="00695298"/>
    <w:rsid w:val="006958FB"/>
    <w:rsid w:val="00696FCE"/>
    <w:rsid w:val="0069773A"/>
    <w:rsid w:val="006A09C6"/>
    <w:rsid w:val="006A0F4C"/>
    <w:rsid w:val="006A1046"/>
    <w:rsid w:val="006A251F"/>
    <w:rsid w:val="006A2A53"/>
    <w:rsid w:val="006A32F1"/>
    <w:rsid w:val="006A51A0"/>
    <w:rsid w:val="006A56B2"/>
    <w:rsid w:val="006A65B6"/>
    <w:rsid w:val="006A7D7C"/>
    <w:rsid w:val="006B0CF4"/>
    <w:rsid w:val="006B1143"/>
    <w:rsid w:val="006B1BF5"/>
    <w:rsid w:val="006B20BA"/>
    <w:rsid w:val="006B2969"/>
    <w:rsid w:val="006B2C0A"/>
    <w:rsid w:val="006B2E21"/>
    <w:rsid w:val="006B3EA8"/>
    <w:rsid w:val="006B3F1A"/>
    <w:rsid w:val="006B424E"/>
    <w:rsid w:val="006B44A6"/>
    <w:rsid w:val="006B4971"/>
    <w:rsid w:val="006B5A51"/>
    <w:rsid w:val="006B5ECA"/>
    <w:rsid w:val="006B5F5F"/>
    <w:rsid w:val="006B6C33"/>
    <w:rsid w:val="006B6CC1"/>
    <w:rsid w:val="006B6F3B"/>
    <w:rsid w:val="006B7B1B"/>
    <w:rsid w:val="006C4A12"/>
    <w:rsid w:val="006C4DB8"/>
    <w:rsid w:val="006C4E9D"/>
    <w:rsid w:val="006C52FF"/>
    <w:rsid w:val="006C57B8"/>
    <w:rsid w:val="006C57C1"/>
    <w:rsid w:val="006C5A77"/>
    <w:rsid w:val="006C64FE"/>
    <w:rsid w:val="006C6BBF"/>
    <w:rsid w:val="006C70B8"/>
    <w:rsid w:val="006D1388"/>
    <w:rsid w:val="006D1598"/>
    <w:rsid w:val="006D1E5B"/>
    <w:rsid w:val="006D1F2C"/>
    <w:rsid w:val="006D2021"/>
    <w:rsid w:val="006D2619"/>
    <w:rsid w:val="006D29E2"/>
    <w:rsid w:val="006D29EF"/>
    <w:rsid w:val="006D2A12"/>
    <w:rsid w:val="006D3270"/>
    <w:rsid w:val="006D3704"/>
    <w:rsid w:val="006D3E86"/>
    <w:rsid w:val="006D4246"/>
    <w:rsid w:val="006D451A"/>
    <w:rsid w:val="006D46A5"/>
    <w:rsid w:val="006D51F3"/>
    <w:rsid w:val="006D5AE3"/>
    <w:rsid w:val="006E1CDE"/>
    <w:rsid w:val="006E34B7"/>
    <w:rsid w:val="006E3C35"/>
    <w:rsid w:val="006E42FC"/>
    <w:rsid w:val="006E615D"/>
    <w:rsid w:val="006E6F15"/>
    <w:rsid w:val="006F02BB"/>
    <w:rsid w:val="006F0341"/>
    <w:rsid w:val="006F066C"/>
    <w:rsid w:val="006F119B"/>
    <w:rsid w:val="006F1F3E"/>
    <w:rsid w:val="006F42F6"/>
    <w:rsid w:val="006F4930"/>
    <w:rsid w:val="006F527B"/>
    <w:rsid w:val="006F52BE"/>
    <w:rsid w:val="006F5E1A"/>
    <w:rsid w:val="006F6236"/>
    <w:rsid w:val="007004A3"/>
    <w:rsid w:val="007007DA"/>
    <w:rsid w:val="007011C9"/>
    <w:rsid w:val="007022D4"/>
    <w:rsid w:val="00702707"/>
    <w:rsid w:val="00702D56"/>
    <w:rsid w:val="00703448"/>
    <w:rsid w:val="00703C70"/>
    <w:rsid w:val="007045C6"/>
    <w:rsid w:val="00704F31"/>
    <w:rsid w:val="00705B92"/>
    <w:rsid w:val="00706002"/>
    <w:rsid w:val="007061AB"/>
    <w:rsid w:val="00706A0B"/>
    <w:rsid w:val="007079E1"/>
    <w:rsid w:val="0071210F"/>
    <w:rsid w:val="00712A2E"/>
    <w:rsid w:val="00713338"/>
    <w:rsid w:val="007133A5"/>
    <w:rsid w:val="00713DAF"/>
    <w:rsid w:val="00714041"/>
    <w:rsid w:val="00715747"/>
    <w:rsid w:val="007167DA"/>
    <w:rsid w:val="00716B32"/>
    <w:rsid w:val="00717429"/>
    <w:rsid w:val="00717EE0"/>
    <w:rsid w:val="00720516"/>
    <w:rsid w:val="00722E6E"/>
    <w:rsid w:val="00723A1B"/>
    <w:rsid w:val="00725A52"/>
    <w:rsid w:val="0072634A"/>
    <w:rsid w:val="00726847"/>
    <w:rsid w:val="00726BBF"/>
    <w:rsid w:val="00727B55"/>
    <w:rsid w:val="00727FC5"/>
    <w:rsid w:val="007314C9"/>
    <w:rsid w:val="007315BC"/>
    <w:rsid w:val="00732C48"/>
    <w:rsid w:val="00733BA3"/>
    <w:rsid w:val="00733D41"/>
    <w:rsid w:val="00736D07"/>
    <w:rsid w:val="00737737"/>
    <w:rsid w:val="007378C7"/>
    <w:rsid w:val="007400AD"/>
    <w:rsid w:val="007409EC"/>
    <w:rsid w:val="00740DA4"/>
    <w:rsid w:val="00743861"/>
    <w:rsid w:val="00743BA2"/>
    <w:rsid w:val="007460E0"/>
    <w:rsid w:val="00747EBF"/>
    <w:rsid w:val="00751178"/>
    <w:rsid w:val="00751D40"/>
    <w:rsid w:val="00752AF1"/>
    <w:rsid w:val="00753B04"/>
    <w:rsid w:val="00754C10"/>
    <w:rsid w:val="00754FE2"/>
    <w:rsid w:val="00756161"/>
    <w:rsid w:val="0075685F"/>
    <w:rsid w:val="00756AFF"/>
    <w:rsid w:val="007600D6"/>
    <w:rsid w:val="007604F0"/>
    <w:rsid w:val="007606B5"/>
    <w:rsid w:val="007608E9"/>
    <w:rsid w:val="00760BE3"/>
    <w:rsid w:val="00760FA3"/>
    <w:rsid w:val="00762802"/>
    <w:rsid w:val="00762AE6"/>
    <w:rsid w:val="00763F74"/>
    <w:rsid w:val="00766C87"/>
    <w:rsid w:val="00767347"/>
    <w:rsid w:val="00767FDF"/>
    <w:rsid w:val="0077212B"/>
    <w:rsid w:val="00772E6C"/>
    <w:rsid w:val="00773097"/>
    <w:rsid w:val="0077445B"/>
    <w:rsid w:val="00775755"/>
    <w:rsid w:val="007760C9"/>
    <w:rsid w:val="007801A7"/>
    <w:rsid w:val="0078149C"/>
    <w:rsid w:val="00781A8B"/>
    <w:rsid w:val="00782018"/>
    <w:rsid w:val="00782AEF"/>
    <w:rsid w:val="00785FAA"/>
    <w:rsid w:val="0078607D"/>
    <w:rsid w:val="00787366"/>
    <w:rsid w:val="00790E08"/>
    <w:rsid w:val="00790F89"/>
    <w:rsid w:val="007918E8"/>
    <w:rsid w:val="00793DB2"/>
    <w:rsid w:val="00796BAD"/>
    <w:rsid w:val="00796E8C"/>
    <w:rsid w:val="00796FEB"/>
    <w:rsid w:val="007A0DA8"/>
    <w:rsid w:val="007A1740"/>
    <w:rsid w:val="007A1F5C"/>
    <w:rsid w:val="007A296E"/>
    <w:rsid w:val="007A34F5"/>
    <w:rsid w:val="007A3B2E"/>
    <w:rsid w:val="007A4CE6"/>
    <w:rsid w:val="007A5AE3"/>
    <w:rsid w:val="007A69A5"/>
    <w:rsid w:val="007A6E6E"/>
    <w:rsid w:val="007A7941"/>
    <w:rsid w:val="007B037C"/>
    <w:rsid w:val="007B1B91"/>
    <w:rsid w:val="007B2229"/>
    <w:rsid w:val="007B2547"/>
    <w:rsid w:val="007B2913"/>
    <w:rsid w:val="007B4441"/>
    <w:rsid w:val="007B4B2F"/>
    <w:rsid w:val="007B5797"/>
    <w:rsid w:val="007B5D98"/>
    <w:rsid w:val="007B6184"/>
    <w:rsid w:val="007B7441"/>
    <w:rsid w:val="007B7A3C"/>
    <w:rsid w:val="007C0351"/>
    <w:rsid w:val="007C0481"/>
    <w:rsid w:val="007C0719"/>
    <w:rsid w:val="007C11CC"/>
    <w:rsid w:val="007C18ED"/>
    <w:rsid w:val="007C1AF5"/>
    <w:rsid w:val="007C1FBD"/>
    <w:rsid w:val="007C2DE7"/>
    <w:rsid w:val="007C34DB"/>
    <w:rsid w:val="007C4778"/>
    <w:rsid w:val="007C4CE5"/>
    <w:rsid w:val="007C5256"/>
    <w:rsid w:val="007C6136"/>
    <w:rsid w:val="007C7979"/>
    <w:rsid w:val="007C7B2B"/>
    <w:rsid w:val="007D0391"/>
    <w:rsid w:val="007D09FA"/>
    <w:rsid w:val="007D0D7B"/>
    <w:rsid w:val="007D12DC"/>
    <w:rsid w:val="007D2637"/>
    <w:rsid w:val="007D29C4"/>
    <w:rsid w:val="007D2C6F"/>
    <w:rsid w:val="007D2C99"/>
    <w:rsid w:val="007D2E77"/>
    <w:rsid w:val="007D39FC"/>
    <w:rsid w:val="007D3BB5"/>
    <w:rsid w:val="007D4916"/>
    <w:rsid w:val="007D4AFD"/>
    <w:rsid w:val="007D4F72"/>
    <w:rsid w:val="007D6F86"/>
    <w:rsid w:val="007E07AF"/>
    <w:rsid w:val="007E16C6"/>
    <w:rsid w:val="007E24DC"/>
    <w:rsid w:val="007E2D91"/>
    <w:rsid w:val="007E5693"/>
    <w:rsid w:val="007E61B8"/>
    <w:rsid w:val="007E6628"/>
    <w:rsid w:val="007E6981"/>
    <w:rsid w:val="007E6DC2"/>
    <w:rsid w:val="007E6F65"/>
    <w:rsid w:val="007E7578"/>
    <w:rsid w:val="007E7E9D"/>
    <w:rsid w:val="007F0C73"/>
    <w:rsid w:val="007F1525"/>
    <w:rsid w:val="007F2592"/>
    <w:rsid w:val="007F2926"/>
    <w:rsid w:val="007F2A29"/>
    <w:rsid w:val="007F3BC3"/>
    <w:rsid w:val="007F5F26"/>
    <w:rsid w:val="007F63DD"/>
    <w:rsid w:val="007F6A54"/>
    <w:rsid w:val="007F7602"/>
    <w:rsid w:val="007F7855"/>
    <w:rsid w:val="008012BD"/>
    <w:rsid w:val="00801516"/>
    <w:rsid w:val="00801DDA"/>
    <w:rsid w:val="00802B5F"/>
    <w:rsid w:val="00803B86"/>
    <w:rsid w:val="008050CA"/>
    <w:rsid w:val="00805326"/>
    <w:rsid w:val="00805492"/>
    <w:rsid w:val="00806600"/>
    <w:rsid w:val="00806A32"/>
    <w:rsid w:val="00807A98"/>
    <w:rsid w:val="00810059"/>
    <w:rsid w:val="00814431"/>
    <w:rsid w:val="0081510C"/>
    <w:rsid w:val="00815129"/>
    <w:rsid w:val="0081602A"/>
    <w:rsid w:val="00816886"/>
    <w:rsid w:val="0081708C"/>
    <w:rsid w:val="008177C6"/>
    <w:rsid w:val="00817A30"/>
    <w:rsid w:val="00817F47"/>
    <w:rsid w:val="0082110D"/>
    <w:rsid w:val="0082146C"/>
    <w:rsid w:val="00821F2E"/>
    <w:rsid w:val="008233A0"/>
    <w:rsid w:val="0082391C"/>
    <w:rsid w:val="00824CE1"/>
    <w:rsid w:val="008255D7"/>
    <w:rsid w:val="008255DF"/>
    <w:rsid w:val="008260C7"/>
    <w:rsid w:val="00826F2F"/>
    <w:rsid w:val="00827F30"/>
    <w:rsid w:val="00834408"/>
    <w:rsid w:val="008369C6"/>
    <w:rsid w:val="00840E5F"/>
    <w:rsid w:val="00841652"/>
    <w:rsid w:val="008439D6"/>
    <w:rsid w:val="00843BBC"/>
    <w:rsid w:val="00844117"/>
    <w:rsid w:val="008446B2"/>
    <w:rsid w:val="00844EFD"/>
    <w:rsid w:val="00845D19"/>
    <w:rsid w:val="00845FEF"/>
    <w:rsid w:val="0084608F"/>
    <w:rsid w:val="00846DBE"/>
    <w:rsid w:val="0085129B"/>
    <w:rsid w:val="008515A5"/>
    <w:rsid w:val="00852413"/>
    <w:rsid w:val="008543C1"/>
    <w:rsid w:val="00854558"/>
    <w:rsid w:val="00854E4C"/>
    <w:rsid w:val="00856378"/>
    <w:rsid w:val="00857FE9"/>
    <w:rsid w:val="008618B5"/>
    <w:rsid w:val="00862850"/>
    <w:rsid w:val="00863239"/>
    <w:rsid w:val="00863283"/>
    <w:rsid w:val="00863526"/>
    <w:rsid w:val="0086494B"/>
    <w:rsid w:val="00864C72"/>
    <w:rsid w:val="008659CD"/>
    <w:rsid w:val="00865AF9"/>
    <w:rsid w:val="0086627F"/>
    <w:rsid w:val="008702FB"/>
    <w:rsid w:val="008704F4"/>
    <w:rsid w:val="0087073E"/>
    <w:rsid w:val="00871239"/>
    <w:rsid w:val="00872421"/>
    <w:rsid w:val="00872FFC"/>
    <w:rsid w:val="00874489"/>
    <w:rsid w:val="008749D4"/>
    <w:rsid w:val="0087585B"/>
    <w:rsid w:val="0087715B"/>
    <w:rsid w:val="00880370"/>
    <w:rsid w:val="00880E47"/>
    <w:rsid w:val="0088213A"/>
    <w:rsid w:val="00882854"/>
    <w:rsid w:val="00884B48"/>
    <w:rsid w:val="00885105"/>
    <w:rsid w:val="008857E6"/>
    <w:rsid w:val="00886B07"/>
    <w:rsid w:val="00886DB8"/>
    <w:rsid w:val="008927CB"/>
    <w:rsid w:val="00895455"/>
    <w:rsid w:val="008A06AC"/>
    <w:rsid w:val="008A0F95"/>
    <w:rsid w:val="008A19D3"/>
    <w:rsid w:val="008A3DBC"/>
    <w:rsid w:val="008A3F23"/>
    <w:rsid w:val="008A490B"/>
    <w:rsid w:val="008B0F63"/>
    <w:rsid w:val="008B1B93"/>
    <w:rsid w:val="008B1E15"/>
    <w:rsid w:val="008B24A8"/>
    <w:rsid w:val="008B3235"/>
    <w:rsid w:val="008B36EA"/>
    <w:rsid w:val="008B70DB"/>
    <w:rsid w:val="008C0760"/>
    <w:rsid w:val="008C1595"/>
    <w:rsid w:val="008C1F7E"/>
    <w:rsid w:val="008C313F"/>
    <w:rsid w:val="008C3B98"/>
    <w:rsid w:val="008C41B1"/>
    <w:rsid w:val="008C4CFC"/>
    <w:rsid w:val="008C5053"/>
    <w:rsid w:val="008C515F"/>
    <w:rsid w:val="008C56B1"/>
    <w:rsid w:val="008C5B1A"/>
    <w:rsid w:val="008C5F14"/>
    <w:rsid w:val="008C5F96"/>
    <w:rsid w:val="008D11A2"/>
    <w:rsid w:val="008D1D66"/>
    <w:rsid w:val="008D22CB"/>
    <w:rsid w:val="008D2C49"/>
    <w:rsid w:val="008D383C"/>
    <w:rsid w:val="008D4407"/>
    <w:rsid w:val="008D48E8"/>
    <w:rsid w:val="008D4917"/>
    <w:rsid w:val="008D4BE5"/>
    <w:rsid w:val="008D5A78"/>
    <w:rsid w:val="008D6990"/>
    <w:rsid w:val="008E0FDF"/>
    <w:rsid w:val="008E14B0"/>
    <w:rsid w:val="008E1B5A"/>
    <w:rsid w:val="008E206E"/>
    <w:rsid w:val="008E251F"/>
    <w:rsid w:val="008E26AF"/>
    <w:rsid w:val="008E3A50"/>
    <w:rsid w:val="008E472A"/>
    <w:rsid w:val="008E4E0D"/>
    <w:rsid w:val="008E53B9"/>
    <w:rsid w:val="008E588E"/>
    <w:rsid w:val="008E5AC8"/>
    <w:rsid w:val="008E5F8E"/>
    <w:rsid w:val="008E61E3"/>
    <w:rsid w:val="008F01C7"/>
    <w:rsid w:val="008F1866"/>
    <w:rsid w:val="008F32E8"/>
    <w:rsid w:val="008F4316"/>
    <w:rsid w:val="008F5151"/>
    <w:rsid w:val="008F5B79"/>
    <w:rsid w:val="008F5CF7"/>
    <w:rsid w:val="008F644D"/>
    <w:rsid w:val="008F776A"/>
    <w:rsid w:val="0090135C"/>
    <w:rsid w:val="00901526"/>
    <w:rsid w:val="009018FD"/>
    <w:rsid w:val="00902566"/>
    <w:rsid w:val="00902ADF"/>
    <w:rsid w:val="00904AD6"/>
    <w:rsid w:val="00904CFA"/>
    <w:rsid w:val="00904D03"/>
    <w:rsid w:val="00905D36"/>
    <w:rsid w:val="0090625F"/>
    <w:rsid w:val="009063A8"/>
    <w:rsid w:val="00910786"/>
    <w:rsid w:val="00910D82"/>
    <w:rsid w:val="00911581"/>
    <w:rsid w:val="009118A8"/>
    <w:rsid w:val="00911D78"/>
    <w:rsid w:val="0091214F"/>
    <w:rsid w:val="0091241D"/>
    <w:rsid w:val="00913AA0"/>
    <w:rsid w:val="00913AFA"/>
    <w:rsid w:val="00913B99"/>
    <w:rsid w:val="00913D54"/>
    <w:rsid w:val="009162EC"/>
    <w:rsid w:val="00916362"/>
    <w:rsid w:val="009170B3"/>
    <w:rsid w:val="00917491"/>
    <w:rsid w:val="00922083"/>
    <w:rsid w:val="00922457"/>
    <w:rsid w:val="00922EC2"/>
    <w:rsid w:val="0092503F"/>
    <w:rsid w:val="00925855"/>
    <w:rsid w:val="00926A14"/>
    <w:rsid w:val="00926E95"/>
    <w:rsid w:val="009278B5"/>
    <w:rsid w:val="009308F4"/>
    <w:rsid w:val="00931E0E"/>
    <w:rsid w:val="00933881"/>
    <w:rsid w:val="00933EA0"/>
    <w:rsid w:val="009357C9"/>
    <w:rsid w:val="009370C2"/>
    <w:rsid w:val="009372FA"/>
    <w:rsid w:val="00937CCC"/>
    <w:rsid w:val="00937ECB"/>
    <w:rsid w:val="00941859"/>
    <w:rsid w:val="00941DA3"/>
    <w:rsid w:val="00944A12"/>
    <w:rsid w:val="00945087"/>
    <w:rsid w:val="00945321"/>
    <w:rsid w:val="00946D72"/>
    <w:rsid w:val="00950986"/>
    <w:rsid w:val="00950EF5"/>
    <w:rsid w:val="009510A4"/>
    <w:rsid w:val="009530F9"/>
    <w:rsid w:val="00953241"/>
    <w:rsid w:val="0095349A"/>
    <w:rsid w:val="009545D0"/>
    <w:rsid w:val="00956204"/>
    <w:rsid w:val="00956293"/>
    <w:rsid w:val="00956BD4"/>
    <w:rsid w:val="00957A79"/>
    <w:rsid w:val="0096030D"/>
    <w:rsid w:val="009604EF"/>
    <w:rsid w:val="009618E5"/>
    <w:rsid w:val="0096206D"/>
    <w:rsid w:val="0096250B"/>
    <w:rsid w:val="00962BFF"/>
    <w:rsid w:val="009633CD"/>
    <w:rsid w:val="00964201"/>
    <w:rsid w:val="00964A89"/>
    <w:rsid w:val="00965C37"/>
    <w:rsid w:val="009664CD"/>
    <w:rsid w:val="009665EB"/>
    <w:rsid w:val="00966DB1"/>
    <w:rsid w:val="00967409"/>
    <w:rsid w:val="00967C8B"/>
    <w:rsid w:val="00970517"/>
    <w:rsid w:val="00970D25"/>
    <w:rsid w:val="00971545"/>
    <w:rsid w:val="009718A8"/>
    <w:rsid w:val="0097198E"/>
    <w:rsid w:val="00971AA5"/>
    <w:rsid w:val="00971C1E"/>
    <w:rsid w:val="00971DC4"/>
    <w:rsid w:val="009724DB"/>
    <w:rsid w:val="00972524"/>
    <w:rsid w:val="009732BE"/>
    <w:rsid w:val="00973CCB"/>
    <w:rsid w:val="00974843"/>
    <w:rsid w:val="0097504F"/>
    <w:rsid w:val="00975466"/>
    <w:rsid w:val="00976053"/>
    <w:rsid w:val="00976165"/>
    <w:rsid w:val="00977275"/>
    <w:rsid w:val="0098065E"/>
    <w:rsid w:val="009810CE"/>
    <w:rsid w:val="00981831"/>
    <w:rsid w:val="00981A88"/>
    <w:rsid w:val="009827C9"/>
    <w:rsid w:val="0098386F"/>
    <w:rsid w:val="009838FF"/>
    <w:rsid w:val="00983D9C"/>
    <w:rsid w:val="00983E27"/>
    <w:rsid w:val="0098533F"/>
    <w:rsid w:val="0098549D"/>
    <w:rsid w:val="00985DAD"/>
    <w:rsid w:val="00986DDB"/>
    <w:rsid w:val="00990304"/>
    <w:rsid w:val="009913CE"/>
    <w:rsid w:val="00992125"/>
    <w:rsid w:val="0099217C"/>
    <w:rsid w:val="009923E6"/>
    <w:rsid w:val="00992C8D"/>
    <w:rsid w:val="00993972"/>
    <w:rsid w:val="00994797"/>
    <w:rsid w:val="00994AD4"/>
    <w:rsid w:val="00996432"/>
    <w:rsid w:val="009968AC"/>
    <w:rsid w:val="009974F0"/>
    <w:rsid w:val="00997BC9"/>
    <w:rsid w:val="009A03B1"/>
    <w:rsid w:val="009A1D0B"/>
    <w:rsid w:val="009A2022"/>
    <w:rsid w:val="009A3E50"/>
    <w:rsid w:val="009A5514"/>
    <w:rsid w:val="009A5653"/>
    <w:rsid w:val="009A62D5"/>
    <w:rsid w:val="009A6D8F"/>
    <w:rsid w:val="009B0503"/>
    <w:rsid w:val="009B235F"/>
    <w:rsid w:val="009B374A"/>
    <w:rsid w:val="009B5960"/>
    <w:rsid w:val="009B5A0D"/>
    <w:rsid w:val="009B5CC3"/>
    <w:rsid w:val="009C0047"/>
    <w:rsid w:val="009C321F"/>
    <w:rsid w:val="009C3C31"/>
    <w:rsid w:val="009C4510"/>
    <w:rsid w:val="009C57DD"/>
    <w:rsid w:val="009C688A"/>
    <w:rsid w:val="009C6C18"/>
    <w:rsid w:val="009C76D0"/>
    <w:rsid w:val="009D069F"/>
    <w:rsid w:val="009D0F87"/>
    <w:rsid w:val="009D2EFB"/>
    <w:rsid w:val="009D33BC"/>
    <w:rsid w:val="009D4121"/>
    <w:rsid w:val="009D4C76"/>
    <w:rsid w:val="009D6123"/>
    <w:rsid w:val="009D6ECC"/>
    <w:rsid w:val="009D720A"/>
    <w:rsid w:val="009E0A07"/>
    <w:rsid w:val="009E0E5A"/>
    <w:rsid w:val="009E1524"/>
    <w:rsid w:val="009E15EC"/>
    <w:rsid w:val="009E2017"/>
    <w:rsid w:val="009E20B6"/>
    <w:rsid w:val="009E2133"/>
    <w:rsid w:val="009E41DC"/>
    <w:rsid w:val="009E4A4E"/>
    <w:rsid w:val="009F161E"/>
    <w:rsid w:val="009F2CEE"/>
    <w:rsid w:val="009F3361"/>
    <w:rsid w:val="009F3B70"/>
    <w:rsid w:val="009F44B9"/>
    <w:rsid w:val="009F6C7D"/>
    <w:rsid w:val="009F6E60"/>
    <w:rsid w:val="00A00976"/>
    <w:rsid w:val="00A02455"/>
    <w:rsid w:val="00A026DB"/>
    <w:rsid w:val="00A02DB2"/>
    <w:rsid w:val="00A031DD"/>
    <w:rsid w:val="00A04CC2"/>
    <w:rsid w:val="00A04E96"/>
    <w:rsid w:val="00A07192"/>
    <w:rsid w:val="00A0764A"/>
    <w:rsid w:val="00A07704"/>
    <w:rsid w:val="00A1196C"/>
    <w:rsid w:val="00A12255"/>
    <w:rsid w:val="00A13350"/>
    <w:rsid w:val="00A13F9B"/>
    <w:rsid w:val="00A144BD"/>
    <w:rsid w:val="00A151E3"/>
    <w:rsid w:val="00A155EE"/>
    <w:rsid w:val="00A163A7"/>
    <w:rsid w:val="00A17075"/>
    <w:rsid w:val="00A17723"/>
    <w:rsid w:val="00A17C57"/>
    <w:rsid w:val="00A21EE6"/>
    <w:rsid w:val="00A222A2"/>
    <w:rsid w:val="00A240F4"/>
    <w:rsid w:val="00A2577A"/>
    <w:rsid w:val="00A26B44"/>
    <w:rsid w:val="00A26F4C"/>
    <w:rsid w:val="00A3095E"/>
    <w:rsid w:val="00A317EF"/>
    <w:rsid w:val="00A32865"/>
    <w:rsid w:val="00A362FF"/>
    <w:rsid w:val="00A363AA"/>
    <w:rsid w:val="00A366F0"/>
    <w:rsid w:val="00A36A4B"/>
    <w:rsid w:val="00A36E02"/>
    <w:rsid w:val="00A37148"/>
    <w:rsid w:val="00A372C0"/>
    <w:rsid w:val="00A374A3"/>
    <w:rsid w:val="00A4085C"/>
    <w:rsid w:val="00A409B0"/>
    <w:rsid w:val="00A423D0"/>
    <w:rsid w:val="00A43D1B"/>
    <w:rsid w:val="00A45963"/>
    <w:rsid w:val="00A51159"/>
    <w:rsid w:val="00A524DF"/>
    <w:rsid w:val="00A54A17"/>
    <w:rsid w:val="00A55405"/>
    <w:rsid w:val="00A5568C"/>
    <w:rsid w:val="00A55CF7"/>
    <w:rsid w:val="00A5776D"/>
    <w:rsid w:val="00A603B5"/>
    <w:rsid w:val="00A61C0E"/>
    <w:rsid w:val="00A61C0F"/>
    <w:rsid w:val="00A6412E"/>
    <w:rsid w:val="00A64825"/>
    <w:rsid w:val="00A655C4"/>
    <w:rsid w:val="00A65A85"/>
    <w:rsid w:val="00A6764E"/>
    <w:rsid w:val="00A67A45"/>
    <w:rsid w:val="00A71996"/>
    <w:rsid w:val="00A71ACC"/>
    <w:rsid w:val="00A73A4D"/>
    <w:rsid w:val="00A745AF"/>
    <w:rsid w:val="00A818D7"/>
    <w:rsid w:val="00A819B8"/>
    <w:rsid w:val="00A83BF2"/>
    <w:rsid w:val="00A84CBE"/>
    <w:rsid w:val="00A8526F"/>
    <w:rsid w:val="00A853D4"/>
    <w:rsid w:val="00A854D4"/>
    <w:rsid w:val="00A85741"/>
    <w:rsid w:val="00A85F45"/>
    <w:rsid w:val="00A86F1B"/>
    <w:rsid w:val="00A87506"/>
    <w:rsid w:val="00A87D3F"/>
    <w:rsid w:val="00A91464"/>
    <w:rsid w:val="00A9249F"/>
    <w:rsid w:val="00A9263B"/>
    <w:rsid w:val="00A92D92"/>
    <w:rsid w:val="00A92EB5"/>
    <w:rsid w:val="00A931BC"/>
    <w:rsid w:val="00A933D1"/>
    <w:rsid w:val="00A9461D"/>
    <w:rsid w:val="00A94682"/>
    <w:rsid w:val="00A94988"/>
    <w:rsid w:val="00A94C08"/>
    <w:rsid w:val="00AA121E"/>
    <w:rsid w:val="00AA1E9F"/>
    <w:rsid w:val="00AA28B1"/>
    <w:rsid w:val="00AA4361"/>
    <w:rsid w:val="00AA46CC"/>
    <w:rsid w:val="00AA4A4B"/>
    <w:rsid w:val="00AA5983"/>
    <w:rsid w:val="00AA5ED2"/>
    <w:rsid w:val="00AA6045"/>
    <w:rsid w:val="00AA698A"/>
    <w:rsid w:val="00AA7868"/>
    <w:rsid w:val="00AA7A83"/>
    <w:rsid w:val="00AB0265"/>
    <w:rsid w:val="00AB24EB"/>
    <w:rsid w:val="00AB30C5"/>
    <w:rsid w:val="00AB4F18"/>
    <w:rsid w:val="00AB5469"/>
    <w:rsid w:val="00AB5CE2"/>
    <w:rsid w:val="00AB67A1"/>
    <w:rsid w:val="00AB6B22"/>
    <w:rsid w:val="00AC0188"/>
    <w:rsid w:val="00AC05D7"/>
    <w:rsid w:val="00AC2FB6"/>
    <w:rsid w:val="00AC35CD"/>
    <w:rsid w:val="00AC3CE9"/>
    <w:rsid w:val="00AC3F23"/>
    <w:rsid w:val="00AD1CCE"/>
    <w:rsid w:val="00AD2C9A"/>
    <w:rsid w:val="00AD2ECF"/>
    <w:rsid w:val="00AD3B8F"/>
    <w:rsid w:val="00AD4396"/>
    <w:rsid w:val="00AD57BA"/>
    <w:rsid w:val="00AD7988"/>
    <w:rsid w:val="00AD7FE9"/>
    <w:rsid w:val="00AE217E"/>
    <w:rsid w:val="00AE2E5A"/>
    <w:rsid w:val="00AE3993"/>
    <w:rsid w:val="00AE5884"/>
    <w:rsid w:val="00AE770F"/>
    <w:rsid w:val="00AF0AF0"/>
    <w:rsid w:val="00AF24D2"/>
    <w:rsid w:val="00AF3A54"/>
    <w:rsid w:val="00AF4487"/>
    <w:rsid w:val="00AF46D2"/>
    <w:rsid w:val="00AF4BE9"/>
    <w:rsid w:val="00B0172B"/>
    <w:rsid w:val="00B022D4"/>
    <w:rsid w:val="00B038C2"/>
    <w:rsid w:val="00B05455"/>
    <w:rsid w:val="00B054B1"/>
    <w:rsid w:val="00B05692"/>
    <w:rsid w:val="00B1086A"/>
    <w:rsid w:val="00B10CE4"/>
    <w:rsid w:val="00B11352"/>
    <w:rsid w:val="00B12954"/>
    <w:rsid w:val="00B13584"/>
    <w:rsid w:val="00B13768"/>
    <w:rsid w:val="00B1386B"/>
    <w:rsid w:val="00B1422B"/>
    <w:rsid w:val="00B142DA"/>
    <w:rsid w:val="00B1578B"/>
    <w:rsid w:val="00B172D3"/>
    <w:rsid w:val="00B17C07"/>
    <w:rsid w:val="00B20DAF"/>
    <w:rsid w:val="00B22B91"/>
    <w:rsid w:val="00B25673"/>
    <w:rsid w:val="00B2587D"/>
    <w:rsid w:val="00B2595C"/>
    <w:rsid w:val="00B25BD7"/>
    <w:rsid w:val="00B26894"/>
    <w:rsid w:val="00B26B2F"/>
    <w:rsid w:val="00B26C14"/>
    <w:rsid w:val="00B27087"/>
    <w:rsid w:val="00B27F94"/>
    <w:rsid w:val="00B31FB3"/>
    <w:rsid w:val="00B33E57"/>
    <w:rsid w:val="00B33F43"/>
    <w:rsid w:val="00B3486C"/>
    <w:rsid w:val="00B34AA8"/>
    <w:rsid w:val="00B3522C"/>
    <w:rsid w:val="00B36404"/>
    <w:rsid w:val="00B37114"/>
    <w:rsid w:val="00B37F3A"/>
    <w:rsid w:val="00B42124"/>
    <w:rsid w:val="00B43F1C"/>
    <w:rsid w:val="00B44239"/>
    <w:rsid w:val="00B4523B"/>
    <w:rsid w:val="00B45297"/>
    <w:rsid w:val="00B454CD"/>
    <w:rsid w:val="00B47355"/>
    <w:rsid w:val="00B47606"/>
    <w:rsid w:val="00B47A28"/>
    <w:rsid w:val="00B50366"/>
    <w:rsid w:val="00B514E4"/>
    <w:rsid w:val="00B51561"/>
    <w:rsid w:val="00B51A8E"/>
    <w:rsid w:val="00B51B0F"/>
    <w:rsid w:val="00B52962"/>
    <w:rsid w:val="00B54CC9"/>
    <w:rsid w:val="00B55BC5"/>
    <w:rsid w:val="00B5639C"/>
    <w:rsid w:val="00B564A3"/>
    <w:rsid w:val="00B565B2"/>
    <w:rsid w:val="00B56B89"/>
    <w:rsid w:val="00B57302"/>
    <w:rsid w:val="00B57666"/>
    <w:rsid w:val="00B577CD"/>
    <w:rsid w:val="00B60463"/>
    <w:rsid w:val="00B60F15"/>
    <w:rsid w:val="00B61652"/>
    <w:rsid w:val="00B6184A"/>
    <w:rsid w:val="00B61923"/>
    <w:rsid w:val="00B63105"/>
    <w:rsid w:val="00B658F8"/>
    <w:rsid w:val="00B65A9C"/>
    <w:rsid w:val="00B65D44"/>
    <w:rsid w:val="00B71944"/>
    <w:rsid w:val="00B72D32"/>
    <w:rsid w:val="00B73C40"/>
    <w:rsid w:val="00B7409B"/>
    <w:rsid w:val="00B74285"/>
    <w:rsid w:val="00B74637"/>
    <w:rsid w:val="00B74650"/>
    <w:rsid w:val="00B75ADA"/>
    <w:rsid w:val="00B75F44"/>
    <w:rsid w:val="00B76B83"/>
    <w:rsid w:val="00B77006"/>
    <w:rsid w:val="00B80F9D"/>
    <w:rsid w:val="00B83AEF"/>
    <w:rsid w:val="00B84B5E"/>
    <w:rsid w:val="00B84F95"/>
    <w:rsid w:val="00B854C0"/>
    <w:rsid w:val="00B8583F"/>
    <w:rsid w:val="00B86104"/>
    <w:rsid w:val="00B869E2"/>
    <w:rsid w:val="00B86B27"/>
    <w:rsid w:val="00B87152"/>
    <w:rsid w:val="00B87E6C"/>
    <w:rsid w:val="00B90722"/>
    <w:rsid w:val="00B9238D"/>
    <w:rsid w:val="00B92855"/>
    <w:rsid w:val="00B93836"/>
    <w:rsid w:val="00B93D48"/>
    <w:rsid w:val="00B944CE"/>
    <w:rsid w:val="00B95CCB"/>
    <w:rsid w:val="00B971FF"/>
    <w:rsid w:val="00B977BA"/>
    <w:rsid w:val="00BA1804"/>
    <w:rsid w:val="00BA27EA"/>
    <w:rsid w:val="00BA3378"/>
    <w:rsid w:val="00BA38E3"/>
    <w:rsid w:val="00BA4D8A"/>
    <w:rsid w:val="00BA6521"/>
    <w:rsid w:val="00BA7F26"/>
    <w:rsid w:val="00BB1000"/>
    <w:rsid w:val="00BB1515"/>
    <w:rsid w:val="00BB2E79"/>
    <w:rsid w:val="00BB3202"/>
    <w:rsid w:val="00BB3C8E"/>
    <w:rsid w:val="00BB40A0"/>
    <w:rsid w:val="00BB41DC"/>
    <w:rsid w:val="00BB45C7"/>
    <w:rsid w:val="00BB7153"/>
    <w:rsid w:val="00BB7222"/>
    <w:rsid w:val="00BB7CD8"/>
    <w:rsid w:val="00BB7E88"/>
    <w:rsid w:val="00BC0472"/>
    <w:rsid w:val="00BC23D3"/>
    <w:rsid w:val="00BC2545"/>
    <w:rsid w:val="00BC27C4"/>
    <w:rsid w:val="00BC375E"/>
    <w:rsid w:val="00BC43CE"/>
    <w:rsid w:val="00BC4D6F"/>
    <w:rsid w:val="00BC610E"/>
    <w:rsid w:val="00BC6BF2"/>
    <w:rsid w:val="00BC720D"/>
    <w:rsid w:val="00BC7D35"/>
    <w:rsid w:val="00BD011A"/>
    <w:rsid w:val="00BD183E"/>
    <w:rsid w:val="00BD26D3"/>
    <w:rsid w:val="00BD2F94"/>
    <w:rsid w:val="00BD3055"/>
    <w:rsid w:val="00BD4003"/>
    <w:rsid w:val="00BD46DA"/>
    <w:rsid w:val="00BD4723"/>
    <w:rsid w:val="00BD5589"/>
    <w:rsid w:val="00BD56A1"/>
    <w:rsid w:val="00BD5E99"/>
    <w:rsid w:val="00BD6D39"/>
    <w:rsid w:val="00BD7172"/>
    <w:rsid w:val="00BD734E"/>
    <w:rsid w:val="00BE1D98"/>
    <w:rsid w:val="00BE2547"/>
    <w:rsid w:val="00BE4148"/>
    <w:rsid w:val="00BE4657"/>
    <w:rsid w:val="00BE46B3"/>
    <w:rsid w:val="00BE5879"/>
    <w:rsid w:val="00BE6542"/>
    <w:rsid w:val="00BE6A7E"/>
    <w:rsid w:val="00BF05EB"/>
    <w:rsid w:val="00BF06E3"/>
    <w:rsid w:val="00BF0CA2"/>
    <w:rsid w:val="00BF264A"/>
    <w:rsid w:val="00C0024B"/>
    <w:rsid w:val="00C0056C"/>
    <w:rsid w:val="00C00A05"/>
    <w:rsid w:val="00C0180A"/>
    <w:rsid w:val="00C0293E"/>
    <w:rsid w:val="00C03DFD"/>
    <w:rsid w:val="00C04BA8"/>
    <w:rsid w:val="00C0640C"/>
    <w:rsid w:val="00C066E7"/>
    <w:rsid w:val="00C10F63"/>
    <w:rsid w:val="00C1170D"/>
    <w:rsid w:val="00C118E5"/>
    <w:rsid w:val="00C118FA"/>
    <w:rsid w:val="00C13E9A"/>
    <w:rsid w:val="00C14045"/>
    <w:rsid w:val="00C14B6D"/>
    <w:rsid w:val="00C14F1D"/>
    <w:rsid w:val="00C155FE"/>
    <w:rsid w:val="00C21753"/>
    <w:rsid w:val="00C21BA3"/>
    <w:rsid w:val="00C21C7A"/>
    <w:rsid w:val="00C2206D"/>
    <w:rsid w:val="00C2224E"/>
    <w:rsid w:val="00C2310E"/>
    <w:rsid w:val="00C25455"/>
    <w:rsid w:val="00C2581C"/>
    <w:rsid w:val="00C2641B"/>
    <w:rsid w:val="00C26979"/>
    <w:rsid w:val="00C32190"/>
    <w:rsid w:val="00C341A5"/>
    <w:rsid w:val="00C361D7"/>
    <w:rsid w:val="00C36714"/>
    <w:rsid w:val="00C4123E"/>
    <w:rsid w:val="00C41A3A"/>
    <w:rsid w:val="00C42100"/>
    <w:rsid w:val="00C52244"/>
    <w:rsid w:val="00C52EDD"/>
    <w:rsid w:val="00C52F08"/>
    <w:rsid w:val="00C536CA"/>
    <w:rsid w:val="00C53CB1"/>
    <w:rsid w:val="00C54E59"/>
    <w:rsid w:val="00C553BB"/>
    <w:rsid w:val="00C55549"/>
    <w:rsid w:val="00C6123A"/>
    <w:rsid w:val="00C61BFF"/>
    <w:rsid w:val="00C6236D"/>
    <w:rsid w:val="00C629CF"/>
    <w:rsid w:val="00C62D5D"/>
    <w:rsid w:val="00C631C9"/>
    <w:rsid w:val="00C63B81"/>
    <w:rsid w:val="00C64796"/>
    <w:rsid w:val="00C65182"/>
    <w:rsid w:val="00C65468"/>
    <w:rsid w:val="00C65F31"/>
    <w:rsid w:val="00C677C9"/>
    <w:rsid w:val="00C67B8B"/>
    <w:rsid w:val="00C713AA"/>
    <w:rsid w:val="00C72532"/>
    <w:rsid w:val="00C7272F"/>
    <w:rsid w:val="00C72ABF"/>
    <w:rsid w:val="00C72D19"/>
    <w:rsid w:val="00C75255"/>
    <w:rsid w:val="00C7539B"/>
    <w:rsid w:val="00C762FC"/>
    <w:rsid w:val="00C77708"/>
    <w:rsid w:val="00C8099E"/>
    <w:rsid w:val="00C81093"/>
    <w:rsid w:val="00C822C2"/>
    <w:rsid w:val="00C83744"/>
    <w:rsid w:val="00C84939"/>
    <w:rsid w:val="00C853A2"/>
    <w:rsid w:val="00C85A64"/>
    <w:rsid w:val="00C862FF"/>
    <w:rsid w:val="00C87328"/>
    <w:rsid w:val="00C87A59"/>
    <w:rsid w:val="00C9038D"/>
    <w:rsid w:val="00C90558"/>
    <w:rsid w:val="00C9074A"/>
    <w:rsid w:val="00C91E01"/>
    <w:rsid w:val="00C91E77"/>
    <w:rsid w:val="00C92E96"/>
    <w:rsid w:val="00C93028"/>
    <w:rsid w:val="00C9375B"/>
    <w:rsid w:val="00C9544B"/>
    <w:rsid w:val="00C95C56"/>
    <w:rsid w:val="00CA1588"/>
    <w:rsid w:val="00CA1E64"/>
    <w:rsid w:val="00CA325A"/>
    <w:rsid w:val="00CA3453"/>
    <w:rsid w:val="00CA421C"/>
    <w:rsid w:val="00CA430A"/>
    <w:rsid w:val="00CA4870"/>
    <w:rsid w:val="00CA4AB4"/>
    <w:rsid w:val="00CA4EA1"/>
    <w:rsid w:val="00CA6BE4"/>
    <w:rsid w:val="00CA740C"/>
    <w:rsid w:val="00CB06EF"/>
    <w:rsid w:val="00CB1B3B"/>
    <w:rsid w:val="00CB1C66"/>
    <w:rsid w:val="00CB2243"/>
    <w:rsid w:val="00CB28C9"/>
    <w:rsid w:val="00CB45AC"/>
    <w:rsid w:val="00CB4BC9"/>
    <w:rsid w:val="00CB4D21"/>
    <w:rsid w:val="00CB5311"/>
    <w:rsid w:val="00CB6BAD"/>
    <w:rsid w:val="00CB6E46"/>
    <w:rsid w:val="00CC1191"/>
    <w:rsid w:val="00CC1399"/>
    <w:rsid w:val="00CC1AFF"/>
    <w:rsid w:val="00CC2769"/>
    <w:rsid w:val="00CC40C2"/>
    <w:rsid w:val="00CC4547"/>
    <w:rsid w:val="00CC5850"/>
    <w:rsid w:val="00CC6EA0"/>
    <w:rsid w:val="00CC732C"/>
    <w:rsid w:val="00CC77E8"/>
    <w:rsid w:val="00CC7AA2"/>
    <w:rsid w:val="00CD0096"/>
    <w:rsid w:val="00CD192A"/>
    <w:rsid w:val="00CD1FC3"/>
    <w:rsid w:val="00CD2D48"/>
    <w:rsid w:val="00CD394C"/>
    <w:rsid w:val="00CD3E61"/>
    <w:rsid w:val="00CE052A"/>
    <w:rsid w:val="00CE0B7A"/>
    <w:rsid w:val="00CE491D"/>
    <w:rsid w:val="00CE4AD7"/>
    <w:rsid w:val="00CE7D56"/>
    <w:rsid w:val="00CF09A8"/>
    <w:rsid w:val="00CF0FDA"/>
    <w:rsid w:val="00CF29D4"/>
    <w:rsid w:val="00CF2ABA"/>
    <w:rsid w:val="00CF3652"/>
    <w:rsid w:val="00CF5227"/>
    <w:rsid w:val="00CF53C6"/>
    <w:rsid w:val="00CF6381"/>
    <w:rsid w:val="00CF6DC8"/>
    <w:rsid w:val="00CF7556"/>
    <w:rsid w:val="00D0092A"/>
    <w:rsid w:val="00D01011"/>
    <w:rsid w:val="00D027AF"/>
    <w:rsid w:val="00D02A56"/>
    <w:rsid w:val="00D0346F"/>
    <w:rsid w:val="00D04521"/>
    <w:rsid w:val="00D04A1A"/>
    <w:rsid w:val="00D05984"/>
    <w:rsid w:val="00D07260"/>
    <w:rsid w:val="00D12EFF"/>
    <w:rsid w:val="00D1365C"/>
    <w:rsid w:val="00D13E8A"/>
    <w:rsid w:val="00D14F7D"/>
    <w:rsid w:val="00D17162"/>
    <w:rsid w:val="00D17535"/>
    <w:rsid w:val="00D17AEC"/>
    <w:rsid w:val="00D17B30"/>
    <w:rsid w:val="00D22AC3"/>
    <w:rsid w:val="00D23502"/>
    <w:rsid w:val="00D23ADF"/>
    <w:rsid w:val="00D23B19"/>
    <w:rsid w:val="00D25D5C"/>
    <w:rsid w:val="00D26670"/>
    <w:rsid w:val="00D307FA"/>
    <w:rsid w:val="00D309AB"/>
    <w:rsid w:val="00D33CB3"/>
    <w:rsid w:val="00D33E89"/>
    <w:rsid w:val="00D3648B"/>
    <w:rsid w:val="00D372C5"/>
    <w:rsid w:val="00D3741E"/>
    <w:rsid w:val="00D4057D"/>
    <w:rsid w:val="00D40759"/>
    <w:rsid w:val="00D40C65"/>
    <w:rsid w:val="00D43607"/>
    <w:rsid w:val="00D43967"/>
    <w:rsid w:val="00D4429D"/>
    <w:rsid w:val="00D44948"/>
    <w:rsid w:val="00D44D0C"/>
    <w:rsid w:val="00D4507A"/>
    <w:rsid w:val="00D45776"/>
    <w:rsid w:val="00D458F5"/>
    <w:rsid w:val="00D45FF8"/>
    <w:rsid w:val="00D46F5F"/>
    <w:rsid w:val="00D476BE"/>
    <w:rsid w:val="00D51597"/>
    <w:rsid w:val="00D516AA"/>
    <w:rsid w:val="00D518AF"/>
    <w:rsid w:val="00D51AAC"/>
    <w:rsid w:val="00D525E5"/>
    <w:rsid w:val="00D53DDF"/>
    <w:rsid w:val="00D5465B"/>
    <w:rsid w:val="00D556D7"/>
    <w:rsid w:val="00D56365"/>
    <w:rsid w:val="00D5655E"/>
    <w:rsid w:val="00D56FDB"/>
    <w:rsid w:val="00D57566"/>
    <w:rsid w:val="00D610F8"/>
    <w:rsid w:val="00D6186B"/>
    <w:rsid w:val="00D63214"/>
    <w:rsid w:val="00D6344E"/>
    <w:rsid w:val="00D6725E"/>
    <w:rsid w:val="00D676F4"/>
    <w:rsid w:val="00D71EEB"/>
    <w:rsid w:val="00D72CBE"/>
    <w:rsid w:val="00D733DF"/>
    <w:rsid w:val="00D73BCC"/>
    <w:rsid w:val="00D75BED"/>
    <w:rsid w:val="00D76D43"/>
    <w:rsid w:val="00D775E6"/>
    <w:rsid w:val="00D800DD"/>
    <w:rsid w:val="00D8109F"/>
    <w:rsid w:val="00D810B3"/>
    <w:rsid w:val="00D8119D"/>
    <w:rsid w:val="00D81A78"/>
    <w:rsid w:val="00D834FE"/>
    <w:rsid w:val="00D8531D"/>
    <w:rsid w:val="00D85595"/>
    <w:rsid w:val="00D86347"/>
    <w:rsid w:val="00D87EF5"/>
    <w:rsid w:val="00D905FB"/>
    <w:rsid w:val="00D91D6F"/>
    <w:rsid w:val="00D92BB1"/>
    <w:rsid w:val="00D93DF7"/>
    <w:rsid w:val="00D93F02"/>
    <w:rsid w:val="00D94E84"/>
    <w:rsid w:val="00D94F7B"/>
    <w:rsid w:val="00D955E6"/>
    <w:rsid w:val="00D9581A"/>
    <w:rsid w:val="00D96B16"/>
    <w:rsid w:val="00D96CA1"/>
    <w:rsid w:val="00D96DB6"/>
    <w:rsid w:val="00D972F7"/>
    <w:rsid w:val="00DA0FB9"/>
    <w:rsid w:val="00DA1AC1"/>
    <w:rsid w:val="00DA2205"/>
    <w:rsid w:val="00DA26A7"/>
    <w:rsid w:val="00DA2A11"/>
    <w:rsid w:val="00DA2E4C"/>
    <w:rsid w:val="00DA3290"/>
    <w:rsid w:val="00DA388C"/>
    <w:rsid w:val="00DA4FCD"/>
    <w:rsid w:val="00DA5236"/>
    <w:rsid w:val="00DA65D0"/>
    <w:rsid w:val="00DA7149"/>
    <w:rsid w:val="00DA750E"/>
    <w:rsid w:val="00DA7945"/>
    <w:rsid w:val="00DB06DF"/>
    <w:rsid w:val="00DB1090"/>
    <w:rsid w:val="00DB17AB"/>
    <w:rsid w:val="00DB2CC7"/>
    <w:rsid w:val="00DB36B2"/>
    <w:rsid w:val="00DB37A3"/>
    <w:rsid w:val="00DB38FC"/>
    <w:rsid w:val="00DB3EA8"/>
    <w:rsid w:val="00DB5B47"/>
    <w:rsid w:val="00DB654B"/>
    <w:rsid w:val="00DB66FB"/>
    <w:rsid w:val="00DC023B"/>
    <w:rsid w:val="00DC1ABD"/>
    <w:rsid w:val="00DC209A"/>
    <w:rsid w:val="00DC3331"/>
    <w:rsid w:val="00DC3BE3"/>
    <w:rsid w:val="00DC656C"/>
    <w:rsid w:val="00DC76B4"/>
    <w:rsid w:val="00DC7EF4"/>
    <w:rsid w:val="00DD131B"/>
    <w:rsid w:val="00DD1C8F"/>
    <w:rsid w:val="00DD2032"/>
    <w:rsid w:val="00DD3628"/>
    <w:rsid w:val="00DD3726"/>
    <w:rsid w:val="00DD691D"/>
    <w:rsid w:val="00DD7502"/>
    <w:rsid w:val="00DE03D0"/>
    <w:rsid w:val="00DE13A3"/>
    <w:rsid w:val="00DE1E96"/>
    <w:rsid w:val="00DE22E8"/>
    <w:rsid w:val="00DE2B2B"/>
    <w:rsid w:val="00DE5495"/>
    <w:rsid w:val="00DE5868"/>
    <w:rsid w:val="00DE5ABF"/>
    <w:rsid w:val="00DE7899"/>
    <w:rsid w:val="00DF1E2C"/>
    <w:rsid w:val="00DF1EF5"/>
    <w:rsid w:val="00DF47F5"/>
    <w:rsid w:val="00DF5E9B"/>
    <w:rsid w:val="00DF6342"/>
    <w:rsid w:val="00DF67E9"/>
    <w:rsid w:val="00E006EF"/>
    <w:rsid w:val="00E00782"/>
    <w:rsid w:val="00E00E23"/>
    <w:rsid w:val="00E017DF"/>
    <w:rsid w:val="00E02CD1"/>
    <w:rsid w:val="00E04844"/>
    <w:rsid w:val="00E05A4A"/>
    <w:rsid w:val="00E05B2B"/>
    <w:rsid w:val="00E06106"/>
    <w:rsid w:val="00E106FC"/>
    <w:rsid w:val="00E107F4"/>
    <w:rsid w:val="00E110F8"/>
    <w:rsid w:val="00E1212B"/>
    <w:rsid w:val="00E13444"/>
    <w:rsid w:val="00E13FE8"/>
    <w:rsid w:val="00E145F0"/>
    <w:rsid w:val="00E14C86"/>
    <w:rsid w:val="00E15EB7"/>
    <w:rsid w:val="00E164BA"/>
    <w:rsid w:val="00E16FA0"/>
    <w:rsid w:val="00E17889"/>
    <w:rsid w:val="00E20081"/>
    <w:rsid w:val="00E21472"/>
    <w:rsid w:val="00E230DE"/>
    <w:rsid w:val="00E23763"/>
    <w:rsid w:val="00E24DB4"/>
    <w:rsid w:val="00E25863"/>
    <w:rsid w:val="00E25A5A"/>
    <w:rsid w:val="00E267E9"/>
    <w:rsid w:val="00E27268"/>
    <w:rsid w:val="00E27D3A"/>
    <w:rsid w:val="00E27E46"/>
    <w:rsid w:val="00E30F13"/>
    <w:rsid w:val="00E3187B"/>
    <w:rsid w:val="00E32114"/>
    <w:rsid w:val="00E323DC"/>
    <w:rsid w:val="00E33578"/>
    <w:rsid w:val="00E335CD"/>
    <w:rsid w:val="00E33788"/>
    <w:rsid w:val="00E344E6"/>
    <w:rsid w:val="00E3470B"/>
    <w:rsid w:val="00E34C8D"/>
    <w:rsid w:val="00E34D5D"/>
    <w:rsid w:val="00E3534E"/>
    <w:rsid w:val="00E35D86"/>
    <w:rsid w:val="00E36502"/>
    <w:rsid w:val="00E37EC9"/>
    <w:rsid w:val="00E40D55"/>
    <w:rsid w:val="00E4104E"/>
    <w:rsid w:val="00E413DF"/>
    <w:rsid w:val="00E45791"/>
    <w:rsid w:val="00E4747C"/>
    <w:rsid w:val="00E51278"/>
    <w:rsid w:val="00E51AD5"/>
    <w:rsid w:val="00E51ED8"/>
    <w:rsid w:val="00E520D7"/>
    <w:rsid w:val="00E52143"/>
    <w:rsid w:val="00E535DB"/>
    <w:rsid w:val="00E542C7"/>
    <w:rsid w:val="00E54F98"/>
    <w:rsid w:val="00E55085"/>
    <w:rsid w:val="00E56811"/>
    <w:rsid w:val="00E5722C"/>
    <w:rsid w:val="00E577DD"/>
    <w:rsid w:val="00E61B04"/>
    <w:rsid w:val="00E61BA5"/>
    <w:rsid w:val="00E61D42"/>
    <w:rsid w:val="00E62412"/>
    <w:rsid w:val="00E62EC1"/>
    <w:rsid w:val="00E64078"/>
    <w:rsid w:val="00E6445D"/>
    <w:rsid w:val="00E651BE"/>
    <w:rsid w:val="00E65F8C"/>
    <w:rsid w:val="00E65FA9"/>
    <w:rsid w:val="00E67F96"/>
    <w:rsid w:val="00E70017"/>
    <w:rsid w:val="00E70513"/>
    <w:rsid w:val="00E70922"/>
    <w:rsid w:val="00E70B42"/>
    <w:rsid w:val="00E70F47"/>
    <w:rsid w:val="00E71792"/>
    <w:rsid w:val="00E71D0C"/>
    <w:rsid w:val="00E7210A"/>
    <w:rsid w:val="00E7233C"/>
    <w:rsid w:val="00E72532"/>
    <w:rsid w:val="00E73D8A"/>
    <w:rsid w:val="00E74964"/>
    <w:rsid w:val="00E75A99"/>
    <w:rsid w:val="00E76253"/>
    <w:rsid w:val="00E77123"/>
    <w:rsid w:val="00E80106"/>
    <w:rsid w:val="00E807AE"/>
    <w:rsid w:val="00E80F48"/>
    <w:rsid w:val="00E8277B"/>
    <w:rsid w:val="00E82A95"/>
    <w:rsid w:val="00E8394D"/>
    <w:rsid w:val="00E8451A"/>
    <w:rsid w:val="00E86176"/>
    <w:rsid w:val="00E8625C"/>
    <w:rsid w:val="00E864DE"/>
    <w:rsid w:val="00E86571"/>
    <w:rsid w:val="00E8683D"/>
    <w:rsid w:val="00E8714A"/>
    <w:rsid w:val="00E871EE"/>
    <w:rsid w:val="00E9045D"/>
    <w:rsid w:val="00E90BA5"/>
    <w:rsid w:val="00E90E70"/>
    <w:rsid w:val="00E922CA"/>
    <w:rsid w:val="00E93829"/>
    <w:rsid w:val="00E93D81"/>
    <w:rsid w:val="00E93EF3"/>
    <w:rsid w:val="00E95BE7"/>
    <w:rsid w:val="00E96D16"/>
    <w:rsid w:val="00E97B38"/>
    <w:rsid w:val="00E97BFC"/>
    <w:rsid w:val="00EA07FA"/>
    <w:rsid w:val="00EA0879"/>
    <w:rsid w:val="00EA12B3"/>
    <w:rsid w:val="00EA2379"/>
    <w:rsid w:val="00EA2D63"/>
    <w:rsid w:val="00EA3280"/>
    <w:rsid w:val="00EA3A6B"/>
    <w:rsid w:val="00EA4583"/>
    <w:rsid w:val="00EA4962"/>
    <w:rsid w:val="00EA5627"/>
    <w:rsid w:val="00EA599C"/>
    <w:rsid w:val="00EA61A7"/>
    <w:rsid w:val="00EA6426"/>
    <w:rsid w:val="00EA6659"/>
    <w:rsid w:val="00EA7364"/>
    <w:rsid w:val="00EB02AE"/>
    <w:rsid w:val="00EB1587"/>
    <w:rsid w:val="00EB2862"/>
    <w:rsid w:val="00EB34AD"/>
    <w:rsid w:val="00EB40F7"/>
    <w:rsid w:val="00EB4C07"/>
    <w:rsid w:val="00EB5548"/>
    <w:rsid w:val="00EB555A"/>
    <w:rsid w:val="00EB70CF"/>
    <w:rsid w:val="00EB7E2A"/>
    <w:rsid w:val="00EC043A"/>
    <w:rsid w:val="00EC0DC3"/>
    <w:rsid w:val="00EC0FC4"/>
    <w:rsid w:val="00EC17D5"/>
    <w:rsid w:val="00EC1E68"/>
    <w:rsid w:val="00EC413A"/>
    <w:rsid w:val="00EC454B"/>
    <w:rsid w:val="00EC4647"/>
    <w:rsid w:val="00EC4C00"/>
    <w:rsid w:val="00EC542B"/>
    <w:rsid w:val="00EC5A81"/>
    <w:rsid w:val="00ED0839"/>
    <w:rsid w:val="00ED0B94"/>
    <w:rsid w:val="00ED0C82"/>
    <w:rsid w:val="00ED1705"/>
    <w:rsid w:val="00ED1F70"/>
    <w:rsid w:val="00ED2BDE"/>
    <w:rsid w:val="00ED3E55"/>
    <w:rsid w:val="00ED5794"/>
    <w:rsid w:val="00EE0051"/>
    <w:rsid w:val="00EE107D"/>
    <w:rsid w:val="00EE148E"/>
    <w:rsid w:val="00EE1B55"/>
    <w:rsid w:val="00EE1D12"/>
    <w:rsid w:val="00EE283E"/>
    <w:rsid w:val="00EE2A4D"/>
    <w:rsid w:val="00EE46EE"/>
    <w:rsid w:val="00EE4F0D"/>
    <w:rsid w:val="00EE7BA1"/>
    <w:rsid w:val="00EF07FA"/>
    <w:rsid w:val="00EF114A"/>
    <w:rsid w:val="00EF2486"/>
    <w:rsid w:val="00EF407F"/>
    <w:rsid w:val="00EF44AF"/>
    <w:rsid w:val="00EF4D92"/>
    <w:rsid w:val="00EF4F48"/>
    <w:rsid w:val="00EF5565"/>
    <w:rsid w:val="00EF5688"/>
    <w:rsid w:val="00EF5EB3"/>
    <w:rsid w:val="00EF6541"/>
    <w:rsid w:val="00EF7DF2"/>
    <w:rsid w:val="00F02114"/>
    <w:rsid w:val="00F02EC5"/>
    <w:rsid w:val="00F0538F"/>
    <w:rsid w:val="00F05D0F"/>
    <w:rsid w:val="00F05DDD"/>
    <w:rsid w:val="00F061A7"/>
    <w:rsid w:val="00F0668F"/>
    <w:rsid w:val="00F06CDF"/>
    <w:rsid w:val="00F076B1"/>
    <w:rsid w:val="00F077EB"/>
    <w:rsid w:val="00F10A18"/>
    <w:rsid w:val="00F1146F"/>
    <w:rsid w:val="00F12605"/>
    <w:rsid w:val="00F1588D"/>
    <w:rsid w:val="00F16658"/>
    <w:rsid w:val="00F16F72"/>
    <w:rsid w:val="00F17B25"/>
    <w:rsid w:val="00F209B9"/>
    <w:rsid w:val="00F221AF"/>
    <w:rsid w:val="00F223FF"/>
    <w:rsid w:val="00F22585"/>
    <w:rsid w:val="00F2277B"/>
    <w:rsid w:val="00F22821"/>
    <w:rsid w:val="00F22C00"/>
    <w:rsid w:val="00F22EF0"/>
    <w:rsid w:val="00F2593C"/>
    <w:rsid w:val="00F26CC8"/>
    <w:rsid w:val="00F271CF"/>
    <w:rsid w:val="00F27DAB"/>
    <w:rsid w:val="00F30F6A"/>
    <w:rsid w:val="00F31D48"/>
    <w:rsid w:val="00F31EE2"/>
    <w:rsid w:val="00F32191"/>
    <w:rsid w:val="00F321C4"/>
    <w:rsid w:val="00F323BA"/>
    <w:rsid w:val="00F341A8"/>
    <w:rsid w:val="00F35069"/>
    <w:rsid w:val="00F3555B"/>
    <w:rsid w:val="00F35674"/>
    <w:rsid w:val="00F35C9F"/>
    <w:rsid w:val="00F3685D"/>
    <w:rsid w:val="00F40E91"/>
    <w:rsid w:val="00F41A4A"/>
    <w:rsid w:val="00F43271"/>
    <w:rsid w:val="00F4330A"/>
    <w:rsid w:val="00F44396"/>
    <w:rsid w:val="00F448C3"/>
    <w:rsid w:val="00F44C94"/>
    <w:rsid w:val="00F44D2E"/>
    <w:rsid w:val="00F455EB"/>
    <w:rsid w:val="00F460F9"/>
    <w:rsid w:val="00F46130"/>
    <w:rsid w:val="00F473C2"/>
    <w:rsid w:val="00F474A7"/>
    <w:rsid w:val="00F5176A"/>
    <w:rsid w:val="00F51CFD"/>
    <w:rsid w:val="00F51D8D"/>
    <w:rsid w:val="00F51E35"/>
    <w:rsid w:val="00F55580"/>
    <w:rsid w:val="00F61383"/>
    <w:rsid w:val="00F61E09"/>
    <w:rsid w:val="00F61FF8"/>
    <w:rsid w:val="00F6226E"/>
    <w:rsid w:val="00F63116"/>
    <w:rsid w:val="00F632AC"/>
    <w:rsid w:val="00F632C4"/>
    <w:rsid w:val="00F642DE"/>
    <w:rsid w:val="00F64394"/>
    <w:rsid w:val="00F67767"/>
    <w:rsid w:val="00F7005D"/>
    <w:rsid w:val="00F71599"/>
    <w:rsid w:val="00F71E84"/>
    <w:rsid w:val="00F72957"/>
    <w:rsid w:val="00F72CF4"/>
    <w:rsid w:val="00F74C30"/>
    <w:rsid w:val="00F804AA"/>
    <w:rsid w:val="00F80E90"/>
    <w:rsid w:val="00F80ED2"/>
    <w:rsid w:val="00F817B0"/>
    <w:rsid w:val="00F8310A"/>
    <w:rsid w:val="00F8371C"/>
    <w:rsid w:val="00F8382D"/>
    <w:rsid w:val="00F849D4"/>
    <w:rsid w:val="00F857A3"/>
    <w:rsid w:val="00F85FC2"/>
    <w:rsid w:val="00F86BDB"/>
    <w:rsid w:val="00F87667"/>
    <w:rsid w:val="00F87C83"/>
    <w:rsid w:val="00F9059E"/>
    <w:rsid w:val="00F90823"/>
    <w:rsid w:val="00F91633"/>
    <w:rsid w:val="00F917B3"/>
    <w:rsid w:val="00F92539"/>
    <w:rsid w:val="00F949C7"/>
    <w:rsid w:val="00F94AEB"/>
    <w:rsid w:val="00F96CC9"/>
    <w:rsid w:val="00F97950"/>
    <w:rsid w:val="00FA0332"/>
    <w:rsid w:val="00FA05ED"/>
    <w:rsid w:val="00FA1727"/>
    <w:rsid w:val="00FA3259"/>
    <w:rsid w:val="00FA3715"/>
    <w:rsid w:val="00FA39CF"/>
    <w:rsid w:val="00FA5AB1"/>
    <w:rsid w:val="00FA6042"/>
    <w:rsid w:val="00FA636B"/>
    <w:rsid w:val="00FB1588"/>
    <w:rsid w:val="00FB31FE"/>
    <w:rsid w:val="00FB5E6C"/>
    <w:rsid w:val="00FB6374"/>
    <w:rsid w:val="00FB6CB4"/>
    <w:rsid w:val="00FB6D76"/>
    <w:rsid w:val="00FB6FD8"/>
    <w:rsid w:val="00FC1314"/>
    <w:rsid w:val="00FC2B71"/>
    <w:rsid w:val="00FC4A40"/>
    <w:rsid w:val="00FC557F"/>
    <w:rsid w:val="00FC6DB7"/>
    <w:rsid w:val="00FC776F"/>
    <w:rsid w:val="00FC7FAC"/>
    <w:rsid w:val="00FD1C30"/>
    <w:rsid w:val="00FD1E1A"/>
    <w:rsid w:val="00FD250B"/>
    <w:rsid w:val="00FD2F1C"/>
    <w:rsid w:val="00FD39EA"/>
    <w:rsid w:val="00FD7D0B"/>
    <w:rsid w:val="00FE0741"/>
    <w:rsid w:val="00FE0DE7"/>
    <w:rsid w:val="00FE218B"/>
    <w:rsid w:val="00FE270F"/>
    <w:rsid w:val="00FE3B3A"/>
    <w:rsid w:val="00FE405B"/>
    <w:rsid w:val="00FE529E"/>
    <w:rsid w:val="00FE59A2"/>
    <w:rsid w:val="00FE6BB9"/>
    <w:rsid w:val="00FE6D02"/>
    <w:rsid w:val="00FE79F7"/>
    <w:rsid w:val="00FF12A0"/>
    <w:rsid w:val="00FF1385"/>
    <w:rsid w:val="00FF1732"/>
    <w:rsid w:val="00FF1AD7"/>
    <w:rsid w:val="00FF3AD2"/>
    <w:rsid w:val="00FF3E04"/>
    <w:rsid w:val="00FF53E8"/>
    <w:rsid w:val="00FF6A5A"/>
    <w:rsid w:val="00FF762C"/>
    <w:rsid w:val="00FF79C6"/>
    <w:rsid w:val="01233A9E"/>
    <w:rsid w:val="018A44B4"/>
    <w:rsid w:val="01922DC9"/>
    <w:rsid w:val="019924DC"/>
    <w:rsid w:val="01D95F0B"/>
    <w:rsid w:val="01EC5C3E"/>
    <w:rsid w:val="021A1EAD"/>
    <w:rsid w:val="02316790"/>
    <w:rsid w:val="023E4914"/>
    <w:rsid w:val="02606320"/>
    <w:rsid w:val="02734C55"/>
    <w:rsid w:val="02906F11"/>
    <w:rsid w:val="02A4476B"/>
    <w:rsid w:val="02E9052A"/>
    <w:rsid w:val="02F10E60"/>
    <w:rsid w:val="03387229"/>
    <w:rsid w:val="03443A6F"/>
    <w:rsid w:val="03724537"/>
    <w:rsid w:val="03851ED2"/>
    <w:rsid w:val="03A96165"/>
    <w:rsid w:val="03AC1B29"/>
    <w:rsid w:val="03CD18E6"/>
    <w:rsid w:val="03F44933"/>
    <w:rsid w:val="04043AA5"/>
    <w:rsid w:val="0404793A"/>
    <w:rsid w:val="041E7ACD"/>
    <w:rsid w:val="04201B8B"/>
    <w:rsid w:val="04382BE0"/>
    <w:rsid w:val="043E7102"/>
    <w:rsid w:val="044C1E90"/>
    <w:rsid w:val="045126D0"/>
    <w:rsid w:val="045E7194"/>
    <w:rsid w:val="04691747"/>
    <w:rsid w:val="0477350E"/>
    <w:rsid w:val="047F63FB"/>
    <w:rsid w:val="048D42C4"/>
    <w:rsid w:val="04A006E1"/>
    <w:rsid w:val="04DF4028"/>
    <w:rsid w:val="051A65C3"/>
    <w:rsid w:val="051E4ACA"/>
    <w:rsid w:val="052E1C9F"/>
    <w:rsid w:val="0531200C"/>
    <w:rsid w:val="053E109C"/>
    <w:rsid w:val="054C6411"/>
    <w:rsid w:val="05551D4C"/>
    <w:rsid w:val="058A11C5"/>
    <w:rsid w:val="059F2D1A"/>
    <w:rsid w:val="05E002BE"/>
    <w:rsid w:val="05E35B59"/>
    <w:rsid w:val="05E83806"/>
    <w:rsid w:val="064502BC"/>
    <w:rsid w:val="06481AD4"/>
    <w:rsid w:val="06521913"/>
    <w:rsid w:val="06567772"/>
    <w:rsid w:val="0669079C"/>
    <w:rsid w:val="06805122"/>
    <w:rsid w:val="069353D8"/>
    <w:rsid w:val="06952ADA"/>
    <w:rsid w:val="06DF7532"/>
    <w:rsid w:val="06E33D11"/>
    <w:rsid w:val="06F36A08"/>
    <w:rsid w:val="071B4038"/>
    <w:rsid w:val="07283BBC"/>
    <w:rsid w:val="07422C6F"/>
    <w:rsid w:val="07655DB3"/>
    <w:rsid w:val="078356D6"/>
    <w:rsid w:val="078934D5"/>
    <w:rsid w:val="07A563E1"/>
    <w:rsid w:val="07DA0583"/>
    <w:rsid w:val="082E67AD"/>
    <w:rsid w:val="0838737A"/>
    <w:rsid w:val="08444D9F"/>
    <w:rsid w:val="088A4392"/>
    <w:rsid w:val="088F37C7"/>
    <w:rsid w:val="089935B7"/>
    <w:rsid w:val="08AA4743"/>
    <w:rsid w:val="08D12404"/>
    <w:rsid w:val="08D92199"/>
    <w:rsid w:val="08DA0D79"/>
    <w:rsid w:val="08DA0EE6"/>
    <w:rsid w:val="0927319F"/>
    <w:rsid w:val="092B3141"/>
    <w:rsid w:val="097517AF"/>
    <w:rsid w:val="097A7948"/>
    <w:rsid w:val="098C68F8"/>
    <w:rsid w:val="09AC4724"/>
    <w:rsid w:val="09B87F24"/>
    <w:rsid w:val="09F95F96"/>
    <w:rsid w:val="0A0334B3"/>
    <w:rsid w:val="0A3C1CA7"/>
    <w:rsid w:val="0A461924"/>
    <w:rsid w:val="0A570314"/>
    <w:rsid w:val="0A8F5B1B"/>
    <w:rsid w:val="0A901CC5"/>
    <w:rsid w:val="0A942E35"/>
    <w:rsid w:val="0B072024"/>
    <w:rsid w:val="0B0914F5"/>
    <w:rsid w:val="0B110D86"/>
    <w:rsid w:val="0B2916C2"/>
    <w:rsid w:val="0B3348DE"/>
    <w:rsid w:val="0B686AC8"/>
    <w:rsid w:val="0B91761E"/>
    <w:rsid w:val="0BCA33E7"/>
    <w:rsid w:val="0BE77B0B"/>
    <w:rsid w:val="0BF57DE5"/>
    <w:rsid w:val="0C5A48B2"/>
    <w:rsid w:val="0C83295D"/>
    <w:rsid w:val="0C89471E"/>
    <w:rsid w:val="0CAE5CFF"/>
    <w:rsid w:val="0D3E4270"/>
    <w:rsid w:val="0D494161"/>
    <w:rsid w:val="0D4F57E4"/>
    <w:rsid w:val="0D512831"/>
    <w:rsid w:val="0D6669BD"/>
    <w:rsid w:val="0D705975"/>
    <w:rsid w:val="0DC64678"/>
    <w:rsid w:val="0DCB05AE"/>
    <w:rsid w:val="0DD00F7F"/>
    <w:rsid w:val="0DF70178"/>
    <w:rsid w:val="0DF94899"/>
    <w:rsid w:val="0DFA1324"/>
    <w:rsid w:val="0E32410D"/>
    <w:rsid w:val="0E3C1537"/>
    <w:rsid w:val="0E7114B7"/>
    <w:rsid w:val="0EA348CD"/>
    <w:rsid w:val="0EA86D69"/>
    <w:rsid w:val="0EB14180"/>
    <w:rsid w:val="0EBC4E69"/>
    <w:rsid w:val="0EDD408A"/>
    <w:rsid w:val="0EE51628"/>
    <w:rsid w:val="0EF64818"/>
    <w:rsid w:val="0EFB37A0"/>
    <w:rsid w:val="0F1D6572"/>
    <w:rsid w:val="0F3D389D"/>
    <w:rsid w:val="0F434292"/>
    <w:rsid w:val="0F8236D5"/>
    <w:rsid w:val="0FA65B55"/>
    <w:rsid w:val="0FBB6258"/>
    <w:rsid w:val="0FC55235"/>
    <w:rsid w:val="0FF97D9D"/>
    <w:rsid w:val="1009280B"/>
    <w:rsid w:val="100E134E"/>
    <w:rsid w:val="10264018"/>
    <w:rsid w:val="102F0049"/>
    <w:rsid w:val="10345380"/>
    <w:rsid w:val="1050087E"/>
    <w:rsid w:val="10647972"/>
    <w:rsid w:val="107439CE"/>
    <w:rsid w:val="10B2256F"/>
    <w:rsid w:val="10C17787"/>
    <w:rsid w:val="10C64A93"/>
    <w:rsid w:val="10DC68D5"/>
    <w:rsid w:val="10F1313F"/>
    <w:rsid w:val="11803EC2"/>
    <w:rsid w:val="11AC730F"/>
    <w:rsid w:val="11BC1C1F"/>
    <w:rsid w:val="11CF1EF1"/>
    <w:rsid w:val="11EA2CE5"/>
    <w:rsid w:val="11F12DFD"/>
    <w:rsid w:val="121A40C0"/>
    <w:rsid w:val="12522220"/>
    <w:rsid w:val="126630B1"/>
    <w:rsid w:val="126D2AE8"/>
    <w:rsid w:val="12994AF8"/>
    <w:rsid w:val="12AE6B32"/>
    <w:rsid w:val="12B237F9"/>
    <w:rsid w:val="12C43EF0"/>
    <w:rsid w:val="12C4475B"/>
    <w:rsid w:val="12D6647C"/>
    <w:rsid w:val="12ED5CBA"/>
    <w:rsid w:val="130A686C"/>
    <w:rsid w:val="132B46CB"/>
    <w:rsid w:val="1347382D"/>
    <w:rsid w:val="135421F8"/>
    <w:rsid w:val="13616BDF"/>
    <w:rsid w:val="13753967"/>
    <w:rsid w:val="137F2F52"/>
    <w:rsid w:val="1380268A"/>
    <w:rsid w:val="13A1080A"/>
    <w:rsid w:val="13CA639A"/>
    <w:rsid w:val="13D735A4"/>
    <w:rsid w:val="13DC1FB6"/>
    <w:rsid w:val="13DF2D80"/>
    <w:rsid w:val="13EB17D3"/>
    <w:rsid w:val="142A4E08"/>
    <w:rsid w:val="146B3973"/>
    <w:rsid w:val="14D8207C"/>
    <w:rsid w:val="14DA386A"/>
    <w:rsid w:val="14E42898"/>
    <w:rsid w:val="14E93EBA"/>
    <w:rsid w:val="14F224D3"/>
    <w:rsid w:val="15073605"/>
    <w:rsid w:val="152A4236"/>
    <w:rsid w:val="154E6766"/>
    <w:rsid w:val="155807CF"/>
    <w:rsid w:val="15786FC5"/>
    <w:rsid w:val="15FA4347"/>
    <w:rsid w:val="162701DA"/>
    <w:rsid w:val="162B22EC"/>
    <w:rsid w:val="164C31F0"/>
    <w:rsid w:val="164D4538"/>
    <w:rsid w:val="166F1862"/>
    <w:rsid w:val="16AA643D"/>
    <w:rsid w:val="16C16894"/>
    <w:rsid w:val="16E62698"/>
    <w:rsid w:val="170B2AE0"/>
    <w:rsid w:val="170C2076"/>
    <w:rsid w:val="171347E8"/>
    <w:rsid w:val="171E3C64"/>
    <w:rsid w:val="171F0553"/>
    <w:rsid w:val="1732022B"/>
    <w:rsid w:val="17465999"/>
    <w:rsid w:val="17656EC7"/>
    <w:rsid w:val="177B1AE6"/>
    <w:rsid w:val="17865E6F"/>
    <w:rsid w:val="178B2FCA"/>
    <w:rsid w:val="17D73777"/>
    <w:rsid w:val="183A16EE"/>
    <w:rsid w:val="18550801"/>
    <w:rsid w:val="188859CE"/>
    <w:rsid w:val="188B5D59"/>
    <w:rsid w:val="189F55F4"/>
    <w:rsid w:val="18F273A6"/>
    <w:rsid w:val="18F71DA8"/>
    <w:rsid w:val="19046B90"/>
    <w:rsid w:val="192A68C8"/>
    <w:rsid w:val="195832AE"/>
    <w:rsid w:val="196E49C7"/>
    <w:rsid w:val="199F5019"/>
    <w:rsid w:val="19DF13F6"/>
    <w:rsid w:val="1A304C68"/>
    <w:rsid w:val="1A390864"/>
    <w:rsid w:val="1A483031"/>
    <w:rsid w:val="1A6A324A"/>
    <w:rsid w:val="1A8567D8"/>
    <w:rsid w:val="1AC77936"/>
    <w:rsid w:val="1B06535A"/>
    <w:rsid w:val="1B181533"/>
    <w:rsid w:val="1B1F6A78"/>
    <w:rsid w:val="1B5E0873"/>
    <w:rsid w:val="1B6070A8"/>
    <w:rsid w:val="1B972C67"/>
    <w:rsid w:val="1BA7556B"/>
    <w:rsid w:val="1BBF315F"/>
    <w:rsid w:val="1BCE6D9D"/>
    <w:rsid w:val="1BDE1760"/>
    <w:rsid w:val="1C2551E1"/>
    <w:rsid w:val="1C4B349A"/>
    <w:rsid w:val="1C5648D0"/>
    <w:rsid w:val="1C656F34"/>
    <w:rsid w:val="1C7E4D73"/>
    <w:rsid w:val="1C856F63"/>
    <w:rsid w:val="1C946602"/>
    <w:rsid w:val="1CA232AC"/>
    <w:rsid w:val="1CCA7376"/>
    <w:rsid w:val="1CF5747D"/>
    <w:rsid w:val="1D0B7287"/>
    <w:rsid w:val="1D0E5817"/>
    <w:rsid w:val="1DA03128"/>
    <w:rsid w:val="1DA05131"/>
    <w:rsid w:val="1DAF6046"/>
    <w:rsid w:val="1DB25B96"/>
    <w:rsid w:val="1DC52A30"/>
    <w:rsid w:val="1DC65517"/>
    <w:rsid w:val="1DC83EF3"/>
    <w:rsid w:val="1DD66520"/>
    <w:rsid w:val="1DD912DB"/>
    <w:rsid w:val="1DE870A5"/>
    <w:rsid w:val="1E07330A"/>
    <w:rsid w:val="1E16127D"/>
    <w:rsid w:val="1E2A33E0"/>
    <w:rsid w:val="1E465BA2"/>
    <w:rsid w:val="1E5E47E0"/>
    <w:rsid w:val="1E65548D"/>
    <w:rsid w:val="1E6A5CCC"/>
    <w:rsid w:val="1E750374"/>
    <w:rsid w:val="1E84689A"/>
    <w:rsid w:val="1EE02AEF"/>
    <w:rsid w:val="1F036625"/>
    <w:rsid w:val="1F1555E0"/>
    <w:rsid w:val="1F28636E"/>
    <w:rsid w:val="1F2F230B"/>
    <w:rsid w:val="1F5472F6"/>
    <w:rsid w:val="1F663A3C"/>
    <w:rsid w:val="1F6E7EA0"/>
    <w:rsid w:val="1F805BBC"/>
    <w:rsid w:val="1FB3432D"/>
    <w:rsid w:val="1FD2426D"/>
    <w:rsid w:val="1FE73C5F"/>
    <w:rsid w:val="1FF877BF"/>
    <w:rsid w:val="2027564F"/>
    <w:rsid w:val="202915A2"/>
    <w:rsid w:val="2038536A"/>
    <w:rsid w:val="204539A1"/>
    <w:rsid w:val="20556D76"/>
    <w:rsid w:val="206554E7"/>
    <w:rsid w:val="207019F5"/>
    <w:rsid w:val="209854B7"/>
    <w:rsid w:val="20DD7A52"/>
    <w:rsid w:val="21087874"/>
    <w:rsid w:val="21346507"/>
    <w:rsid w:val="21435719"/>
    <w:rsid w:val="21457AA6"/>
    <w:rsid w:val="214866D0"/>
    <w:rsid w:val="2184057F"/>
    <w:rsid w:val="219C4AB4"/>
    <w:rsid w:val="21B76AE0"/>
    <w:rsid w:val="223C008F"/>
    <w:rsid w:val="22472B4C"/>
    <w:rsid w:val="22643497"/>
    <w:rsid w:val="22794F14"/>
    <w:rsid w:val="227F77DE"/>
    <w:rsid w:val="22833EB1"/>
    <w:rsid w:val="229442B5"/>
    <w:rsid w:val="22B8599C"/>
    <w:rsid w:val="22C67959"/>
    <w:rsid w:val="22FB0688"/>
    <w:rsid w:val="23053C47"/>
    <w:rsid w:val="231C0C23"/>
    <w:rsid w:val="232063A6"/>
    <w:rsid w:val="23635693"/>
    <w:rsid w:val="239F4B3B"/>
    <w:rsid w:val="23B76FD3"/>
    <w:rsid w:val="23C44AC9"/>
    <w:rsid w:val="23ED7ADD"/>
    <w:rsid w:val="240C6AFA"/>
    <w:rsid w:val="243109E9"/>
    <w:rsid w:val="2448342E"/>
    <w:rsid w:val="245C48D7"/>
    <w:rsid w:val="246E108F"/>
    <w:rsid w:val="24A249FE"/>
    <w:rsid w:val="24AF7273"/>
    <w:rsid w:val="24FC7EDF"/>
    <w:rsid w:val="25066EF6"/>
    <w:rsid w:val="2518296A"/>
    <w:rsid w:val="26066D6F"/>
    <w:rsid w:val="26235A5B"/>
    <w:rsid w:val="26280EE9"/>
    <w:rsid w:val="262E24B2"/>
    <w:rsid w:val="268B284C"/>
    <w:rsid w:val="26934AF9"/>
    <w:rsid w:val="26A26BEE"/>
    <w:rsid w:val="26BB643B"/>
    <w:rsid w:val="26C7367F"/>
    <w:rsid w:val="26CD70F0"/>
    <w:rsid w:val="26FE1742"/>
    <w:rsid w:val="26FF1B22"/>
    <w:rsid w:val="2701248A"/>
    <w:rsid w:val="27015D0E"/>
    <w:rsid w:val="272B4880"/>
    <w:rsid w:val="2736548A"/>
    <w:rsid w:val="274F6261"/>
    <w:rsid w:val="277A093D"/>
    <w:rsid w:val="278241BD"/>
    <w:rsid w:val="27971706"/>
    <w:rsid w:val="279767AD"/>
    <w:rsid w:val="27A667E9"/>
    <w:rsid w:val="280755BB"/>
    <w:rsid w:val="286D29E1"/>
    <w:rsid w:val="288714FD"/>
    <w:rsid w:val="28CC3AA7"/>
    <w:rsid w:val="28E85E5F"/>
    <w:rsid w:val="28EA436C"/>
    <w:rsid w:val="29215BA4"/>
    <w:rsid w:val="294414A4"/>
    <w:rsid w:val="294A756A"/>
    <w:rsid w:val="29660000"/>
    <w:rsid w:val="298A5CBE"/>
    <w:rsid w:val="29926273"/>
    <w:rsid w:val="29A65A1D"/>
    <w:rsid w:val="29AF38AF"/>
    <w:rsid w:val="29B4634A"/>
    <w:rsid w:val="29D11A3A"/>
    <w:rsid w:val="29EA6C76"/>
    <w:rsid w:val="29F10992"/>
    <w:rsid w:val="2A02581B"/>
    <w:rsid w:val="2A1C367F"/>
    <w:rsid w:val="2A2E1289"/>
    <w:rsid w:val="2A404A54"/>
    <w:rsid w:val="2A4B359A"/>
    <w:rsid w:val="2A792CCC"/>
    <w:rsid w:val="2A8229CD"/>
    <w:rsid w:val="2A8453B1"/>
    <w:rsid w:val="2A863051"/>
    <w:rsid w:val="2A9920D3"/>
    <w:rsid w:val="2AA56CCB"/>
    <w:rsid w:val="2AD035AE"/>
    <w:rsid w:val="2AE37315"/>
    <w:rsid w:val="2B013C59"/>
    <w:rsid w:val="2B2412CD"/>
    <w:rsid w:val="2B2433DD"/>
    <w:rsid w:val="2B7045BE"/>
    <w:rsid w:val="2B9D7C99"/>
    <w:rsid w:val="2BA90F52"/>
    <w:rsid w:val="2BAB53B1"/>
    <w:rsid w:val="2BB51544"/>
    <w:rsid w:val="2BC346BE"/>
    <w:rsid w:val="2BE07D12"/>
    <w:rsid w:val="2BE16598"/>
    <w:rsid w:val="2BF269A7"/>
    <w:rsid w:val="2C1C696A"/>
    <w:rsid w:val="2C4D7589"/>
    <w:rsid w:val="2C5174E0"/>
    <w:rsid w:val="2C5618F8"/>
    <w:rsid w:val="2C6A365C"/>
    <w:rsid w:val="2C877A43"/>
    <w:rsid w:val="2C8A6754"/>
    <w:rsid w:val="2C8F59B2"/>
    <w:rsid w:val="2C9D5792"/>
    <w:rsid w:val="2CB847EB"/>
    <w:rsid w:val="2CE22AB5"/>
    <w:rsid w:val="2CFD5684"/>
    <w:rsid w:val="2CFE66A2"/>
    <w:rsid w:val="2D845825"/>
    <w:rsid w:val="2D9A7120"/>
    <w:rsid w:val="2DC50F24"/>
    <w:rsid w:val="2DE435D2"/>
    <w:rsid w:val="2DF36570"/>
    <w:rsid w:val="2E1B14D5"/>
    <w:rsid w:val="2E235B1A"/>
    <w:rsid w:val="2E2D4D5E"/>
    <w:rsid w:val="2E3512B9"/>
    <w:rsid w:val="2E6E7857"/>
    <w:rsid w:val="2EC41B6D"/>
    <w:rsid w:val="2ECF2A5B"/>
    <w:rsid w:val="2F0F4A30"/>
    <w:rsid w:val="2F2D4173"/>
    <w:rsid w:val="2F3C308F"/>
    <w:rsid w:val="2F61560E"/>
    <w:rsid w:val="2F8278DB"/>
    <w:rsid w:val="2F9C7A54"/>
    <w:rsid w:val="2F9D6043"/>
    <w:rsid w:val="2FC04163"/>
    <w:rsid w:val="2FD71C09"/>
    <w:rsid w:val="2FF10740"/>
    <w:rsid w:val="2FF66418"/>
    <w:rsid w:val="3006129D"/>
    <w:rsid w:val="301C3CE8"/>
    <w:rsid w:val="304C65BF"/>
    <w:rsid w:val="30B5333E"/>
    <w:rsid w:val="30F90549"/>
    <w:rsid w:val="30F94C24"/>
    <w:rsid w:val="313C614E"/>
    <w:rsid w:val="31505DAD"/>
    <w:rsid w:val="31532F2D"/>
    <w:rsid w:val="318320A8"/>
    <w:rsid w:val="318C4BC4"/>
    <w:rsid w:val="318C4C20"/>
    <w:rsid w:val="31A40879"/>
    <w:rsid w:val="31C1309B"/>
    <w:rsid w:val="31CD7106"/>
    <w:rsid w:val="31F57EDC"/>
    <w:rsid w:val="320C1BA8"/>
    <w:rsid w:val="32456B21"/>
    <w:rsid w:val="32AA5A6C"/>
    <w:rsid w:val="32AE19BE"/>
    <w:rsid w:val="32B56792"/>
    <w:rsid w:val="32BC30EA"/>
    <w:rsid w:val="32C51192"/>
    <w:rsid w:val="32C67036"/>
    <w:rsid w:val="32CD43F3"/>
    <w:rsid w:val="32EE7C35"/>
    <w:rsid w:val="3301513E"/>
    <w:rsid w:val="331A6EA1"/>
    <w:rsid w:val="331D35FA"/>
    <w:rsid w:val="332848FF"/>
    <w:rsid w:val="33394C3C"/>
    <w:rsid w:val="335C522C"/>
    <w:rsid w:val="33B33591"/>
    <w:rsid w:val="33C40DAF"/>
    <w:rsid w:val="33CB50F6"/>
    <w:rsid w:val="33EA5773"/>
    <w:rsid w:val="33EA6BD5"/>
    <w:rsid w:val="34156596"/>
    <w:rsid w:val="341579FF"/>
    <w:rsid w:val="3431759C"/>
    <w:rsid w:val="343B1E3D"/>
    <w:rsid w:val="3477605B"/>
    <w:rsid w:val="347B2C27"/>
    <w:rsid w:val="3480762C"/>
    <w:rsid w:val="34B563E2"/>
    <w:rsid w:val="34C71782"/>
    <w:rsid w:val="34CA2810"/>
    <w:rsid w:val="34E31110"/>
    <w:rsid w:val="34F73875"/>
    <w:rsid w:val="35033E04"/>
    <w:rsid w:val="350A1874"/>
    <w:rsid w:val="350C4714"/>
    <w:rsid w:val="351A087B"/>
    <w:rsid w:val="35270B41"/>
    <w:rsid w:val="352B563A"/>
    <w:rsid w:val="353323D5"/>
    <w:rsid w:val="3546508A"/>
    <w:rsid w:val="35867372"/>
    <w:rsid w:val="35925C72"/>
    <w:rsid w:val="35973F2D"/>
    <w:rsid w:val="35AA3092"/>
    <w:rsid w:val="35C26DEE"/>
    <w:rsid w:val="360F267E"/>
    <w:rsid w:val="361762C6"/>
    <w:rsid w:val="362D1C01"/>
    <w:rsid w:val="364517E5"/>
    <w:rsid w:val="36461C74"/>
    <w:rsid w:val="365A50BB"/>
    <w:rsid w:val="36615EFA"/>
    <w:rsid w:val="36692210"/>
    <w:rsid w:val="366E68DA"/>
    <w:rsid w:val="36881F0D"/>
    <w:rsid w:val="36C41867"/>
    <w:rsid w:val="36CC24F7"/>
    <w:rsid w:val="370E4C3C"/>
    <w:rsid w:val="371068E9"/>
    <w:rsid w:val="373C3CC0"/>
    <w:rsid w:val="375436D4"/>
    <w:rsid w:val="37545502"/>
    <w:rsid w:val="376712E7"/>
    <w:rsid w:val="37792BD8"/>
    <w:rsid w:val="37855348"/>
    <w:rsid w:val="37D4606B"/>
    <w:rsid w:val="37FA4F3B"/>
    <w:rsid w:val="381F5E35"/>
    <w:rsid w:val="383813C8"/>
    <w:rsid w:val="38456711"/>
    <w:rsid w:val="385244BD"/>
    <w:rsid w:val="38623892"/>
    <w:rsid w:val="38650C3E"/>
    <w:rsid w:val="386F576A"/>
    <w:rsid w:val="388809BB"/>
    <w:rsid w:val="388A07DC"/>
    <w:rsid w:val="388E23A9"/>
    <w:rsid w:val="38E431AE"/>
    <w:rsid w:val="38F57B5C"/>
    <w:rsid w:val="38FD2469"/>
    <w:rsid w:val="39186D3D"/>
    <w:rsid w:val="39334744"/>
    <w:rsid w:val="3948026B"/>
    <w:rsid w:val="3956604D"/>
    <w:rsid w:val="39677683"/>
    <w:rsid w:val="39A1679C"/>
    <w:rsid w:val="39F12A70"/>
    <w:rsid w:val="3A132F16"/>
    <w:rsid w:val="3A1B3237"/>
    <w:rsid w:val="3A93517E"/>
    <w:rsid w:val="3ABF4F1C"/>
    <w:rsid w:val="3B42434C"/>
    <w:rsid w:val="3B6B3A9C"/>
    <w:rsid w:val="3BE55A8F"/>
    <w:rsid w:val="3BF44C1A"/>
    <w:rsid w:val="3C030505"/>
    <w:rsid w:val="3C34574B"/>
    <w:rsid w:val="3C4D325F"/>
    <w:rsid w:val="3C5A2D1C"/>
    <w:rsid w:val="3C607499"/>
    <w:rsid w:val="3C7941AB"/>
    <w:rsid w:val="3CB37024"/>
    <w:rsid w:val="3CC550C3"/>
    <w:rsid w:val="3CE47750"/>
    <w:rsid w:val="3D057F7D"/>
    <w:rsid w:val="3D0976C4"/>
    <w:rsid w:val="3D0B7BDA"/>
    <w:rsid w:val="3D3F380A"/>
    <w:rsid w:val="3D4752E9"/>
    <w:rsid w:val="3D7E34D1"/>
    <w:rsid w:val="3D8C258A"/>
    <w:rsid w:val="3DA7157D"/>
    <w:rsid w:val="3DCC5451"/>
    <w:rsid w:val="3E017A3D"/>
    <w:rsid w:val="3E0347A6"/>
    <w:rsid w:val="3E37139E"/>
    <w:rsid w:val="3E3839DE"/>
    <w:rsid w:val="3E386E20"/>
    <w:rsid w:val="3E5C5F16"/>
    <w:rsid w:val="3E7E6A1E"/>
    <w:rsid w:val="3E974BA8"/>
    <w:rsid w:val="3EA6303D"/>
    <w:rsid w:val="3EB236E5"/>
    <w:rsid w:val="3ECB6600"/>
    <w:rsid w:val="3F3527DB"/>
    <w:rsid w:val="3F380C0A"/>
    <w:rsid w:val="3F5C78B4"/>
    <w:rsid w:val="3F610CAF"/>
    <w:rsid w:val="3F626F64"/>
    <w:rsid w:val="3F88629F"/>
    <w:rsid w:val="3F92191C"/>
    <w:rsid w:val="3FA42A17"/>
    <w:rsid w:val="402F14D9"/>
    <w:rsid w:val="403501D5"/>
    <w:rsid w:val="4042437C"/>
    <w:rsid w:val="40437225"/>
    <w:rsid w:val="40666255"/>
    <w:rsid w:val="40852B71"/>
    <w:rsid w:val="40A56A55"/>
    <w:rsid w:val="40C80836"/>
    <w:rsid w:val="40D04F96"/>
    <w:rsid w:val="40DC4AF4"/>
    <w:rsid w:val="412F650A"/>
    <w:rsid w:val="4148218A"/>
    <w:rsid w:val="4154383A"/>
    <w:rsid w:val="415826D8"/>
    <w:rsid w:val="416A77B2"/>
    <w:rsid w:val="41CB6612"/>
    <w:rsid w:val="41E4107E"/>
    <w:rsid w:val="42092064"/>
    <w:rsid w:val="42303F6E"/>
    <w:rsid w:val="424741EF"/>
    <w:rsid w:val="4253528A"/>
    <w:rsid w:val="427E562E"/>
    <w:rsid w:val="42C22B34"/>
    <w:rsid w:val="42C433F4"/>
    <w:rsid w:val="42E6571C"/>
    <w:rsid w:val="42F624A6"/>
    <w:rsid w:val="431C1B20"/>
    <w:rsid w:val="43297F3D"/>
    <w:rsid w:val="434C069A"/>
    <w:rsid w:val="4368266F"/>
    <w:rsid w:val="43707565"/>
    <w:rsid w:val="43814E59"/>
    <w:rsid w:val="4385144A"/>
    <w:rsid w:val="440F51E1"/>
    <w:rsid w:val="4412373D"/>
    <w:rsid w:val="444F55DD"/>
    <w:rsid w:val="44846EF4"/>
    <w:rsid w:val="448B20BD"/>
    <w:rsid w:val="449D27EC"/>
    <w:rsid w:val="44D00889"/>
    <w:rsid w:val="44DB3186"/>
    <w:rsid w:val="44F11AA7"/>
    <w:rsid w:val="453146CD"/>
    <w:rsid w:val="45521917"/>
    <w:rsid w:val="455A36D4"/>
    <w:rsid w:val="45642733"/>
    <w:rsid w:val="457277D5"/>
    <w:rsid w:val="459A26C1"/>
    <w:rsid w:val="45AD3929"/>
    <w:rsid w:val="45F12DF0"/>
    <w:rsid w:val="45FB5915"/>
    <w:rsid w:val="460301D6"/>
    <w:rsid w:val="462875A5"/>
    <w:rsid w:val="462E6C0B"/>
    <w:rsid w:val="468B3E36"/>
    <w:rsid w:val="469460F7"/>
    <w:rsid w:val="46A401F3"/>
    <w:rsid w:val="47077F50"/>
    <w:rsid w:val="474B4782"/>
    <w:rsid w:val="475A0EB2"/>
    <w:rsid w:val="475B3E56"/>
    <w:rsid w:val="475E4BEA"/>
    <w:rsid w:val="47766E62"/>
    <w:rsid w:val="477E46F8"/>
    <w:rsid w:val="479E21BE"/>
    <w:rsid w:val="47CB5980"/>
    <w:rsid w:val="47E7569B"/>
    <w:rsid w:val="47F372AA"/>
    <w:rsid w:val="482B2CC3"/>
    <w:rsid w:val="482B75F4"/>
    <w:rsid w:val="488739F0"/>
    <w:rsid w:val="48965ED0"/>
    <w:rsid w:val="48996C1F"/>
    <w:rsid w:val="48BA78DE"/>
    <w:rsid w:val="48C2276C"/>
    <w:rsid w:val="48CA70FD"/>
    <w:rsid w:val="48CB5058"/>
    <w:rsid w:val="48CC2435"/>
    <w:rsid w:val="48EF7956"/>
    <w:rsid w:val="490D4C4F"/>
    <w:rsid w:val="493F681B"/>
    <w:rsid w:val="495F62C2"/>
    <w:rsid w:val="499814CB"/>
    <w:rsid w:val="499C42E2"/>
    <w:rsid w:val="49FA026B"/>
    <w:rsid w:val="49FA3470"/>
    <w:rsid w:val="4A596B7C"/>
    <w:rsid w:val="4A5E3A23"/>
    <w:rsid w:val="4A743FEF"/>
    <w:rsid w:val="4A92373A"/>
    <w:rsid w:val="4AA043AA"/>
    <w:rsid w:val="4ABA51D3"/>
    <w:rsid w:val="4ABD1A49"/>
    <w:rsid w:val="4AD16E3D"/>
    <w:rsid w:val="4B17556D"/>
    <w:rsid w:val="4B46248B"/>
    <w:rsid w:val="4B5005B9"/>
    <w:rsid w:val="4B8D6483"/>
    <w:rsid w:val="4B994F91"/>
    <w:rsid w:val="4BBD33CE"/>
    <w:rsid w:val="4BC75233"/>
    <w:rsid w:val="4BEA0663"/>
    <w:rsid w:val="4C5B7BDE"/>
    <w:rsid w:val="4C623271"/>
    <w:rsid w:val="4C96649F"/>
    <w:rsid w:val="4CAA6DEC"/>
    <w:rsid w:val="4CBB5870"/>
    <w:rsid w:val="4D020F06"/>
    <w:rsid w:val="4D0A29E9"/>
    <w:rsid w:val="4D0E12D1"/>
    <w:rsid w:val="4D291727"/>
    <w:rsid w:val="4D2A6786"/>
    <w:rsid w:val="4D2B118A"/>
    <w:rsid w:val="4D3913B2"/>
    <w:rsid w:val="4D490C1D"/>
    <w:rsid w:val="4D681C3A"/>
    <w:rsid w:val="4D8D2837"/>
    <w:rsid w:val="4D976B7C"/>
    <w:rsid w:val="4D981DA3"/>
    <w:rsid w:val="4DAA76F7"/>
    <w:rsid w:val="4DBE1C1A"/>
    <w:rsid w:val="4DEF06D0"/>
    <w:rsid w:val="4DFF0486"/>
    <w:rsid w:val="4DFF3300"/>
    <w:rsid w:val="4E0C0B2F"/>
    <w:rsid w:val="4EC877D1"/>
    <w:rsid w:val="4ECE1184"/>
    <w:rsid w:val="4EDF237F"/>
    <w:rsid w:val="4EF94AC3"/>
    <w:rsid w:val="4F203DE0"/>
    <w:rsid w:val="4F28267F"/>
    <w:rsid w:val="4F4F03FE"/>
    <w:rsid w:val="4F72431F"/>
    <w:rsid w:val="4FA90FFB"/>
    <w:rsid w:val="4FBE780A"/>
    <w:rsid w:val="4FF442B8"/>
    <w:rsid w:val="4FF74036"/>
    <w:rsid w:val="5023371B"/>
    <w:rsid w:val="50324731"/>
    <w:rsid w:val="503A7D50"/>
    <w:rsid w:val="5051105B"/>
    <w:rsid w:val="50573EE0"/>
    <w:rsid w:val="50687EE1"/>
    <w:rsid w:val="50825ABD"/>
    <w:rsid w:val="50847E24"/>
    <w:rsid w:val="508B2042"/>
    <w:rsid w:val="50A117D4"/>
    <w:rsid w:val="50BB2978"/>
    <w:rsid w:val="50DC48AF"/>
    <w:rsid w:val="50E97ADE"/>
    <w:rsid w:val="50F1625A"/>
    <w:rsid w:val="50F43794"/>
    <w:rsid w:val="510A2FB8"/>
    <w:rsid w:val="51226553"/>
    <w:rsid w:val="5124215A"/>
    <w:rsid w:val="51320B4E"/>
    <w:rsid w:val="51346287"/>
    <w:rsid w:val="515D3978"/>
    <w:rsid w:val="517806BF"/>
    <w:rsid w:val="519B7926"/>
    <w:rsid w:val="51AE5EE8"/>
    <w:rsid w:val="51B15013"/>
    <w:rsid w:val="51E62428"/>
    <w:rsid w:val="51EE0B2B"/>
    <w:rsid w:val="521914C1"/>
    <w:rsid w:val="5222697F"/>
    <w:rsid w:val="522400A9"/>
    <w:rsid w:val="52383A63"/>
    <w:rsid w:val="52462715"/>
    <w:rsid w:val="525E7A5F"/>
    <w:rsid w:val="527375B5"/>
    <w:rsid w:val="527821A3"/>
    <w:rsid w:val="52D93B7C"/>
    <w:rsid w:val="52E0721B"/>
    <w:rsid w:val="52E26BDA"/>
    <w:rsid w:val="52E7467F"/>
    <w:rsid w:val="530379C0"/>
    <w:rsid w:val="5318224A"/>
    <w:rsid w:val="53211D72"/>
    <w:rsid w:val="5334399F"/>
    <w:rsid w:val="533A3138"/>
    <w:rsid w:val="537D1372"/>
    <w:rsid w:val="53F1001A"/>
    <w:rsid w:val="53FF22C9"/>
    <w:rsid w:val="54124691"/>
    <w:rsid w:val="542D593B"/>
    <w:rsid w:val="544E4D2A"/>
    <w:rsid w:val="54A52B04"/>
    <w:rsid w:val="54C01B2D"/>
    <w:rsid w:val="54C81DDF"/>
    <w:rsid w:val="54F330A3"/>
    <w:rsid w:val="55036293"/>
    <w:rsid w:val="55061C05"/>
    <w:rsid w:val="550D4C7E"/>
    <w:rsid w:val="55361973"/>
    <w:rsid w:val="55826059"/>
    <w:rsid w:val="55942700"/>
    <w:rsid w:val="55B577AC"/>
    <w:rsid w:val="55B840E3"/>
    <w:rsid w:val="55D342C0"/>
    <w:rsid w:val="55DB4169"/>
    <w:rsid w:val="55E0512C"/>
    <w:rsid w:val="56021E2A"/>
    <w:rsid w:val="560A0CCC"/>
    <w:rsid w:val="560A7BA7"/>
    <w:rsid w:val="561E24B4"/>
    <w:rsid w:val="56575B04"/>
    <w:rsid w:val="567233E3"/>
    <w:rsid w:val="56813D12"/>
    <w:rsid w:val="56C939DC"/>
    <w:rsid w:val="56D53EDE"/>
    <w:rsid w:val="56DB125F"/>
    <w:rsid w:val="56FE0584"/>
    <w:rsid w:val="57081BCD"/>
    <w:rsid w:val="573B17CB"/>
    <w:rsid w:val="573D4E87"/>
    <w:rsid w:val="57410936"/>
    <w:rsid w:val="576F0F6A"/>
    <w:rsid w:val="57773ECE"/>
    <w:rsid w:val="5781514F"/>
    <w:rsid w:val="578D15B1"/>
    <w:rsid w:val="57A1361A"/>
    <w:rsid w:val="57A25E51"/>
    <w:rsid w:val="57A8352A"/>
    <w:rsid w:val="57E45843"/>
    <w:rsid w:val="57F77A99"/>
    <w:rsid w:val="58036FF1"/>
    <w:rsid w:val="581F31B7"/>
    <w:rsid w:val="585B2F03"/>
    <w:rsid w:val="5875340D"/>
    <w:rsid w:val="58803767"/>
    <w:rsid w:val="58807951"/>
    <w:rsid w:val="58DF4006"/>
    <w:rsid w:val="58DF4D2A"/>
    <w:rsid w:val="590B5B1F"/>
    <w:rsid w:val="591D14AE"/>
    <w:rsid w:val="591F64C4"/>
    <w:rsid w:val="59272B65"/>
    <w:rsid w:val="59284BD5"/>
    <w:rsid w:val="593928F1"/>
    <w:rsid w:val="5967369D"/>
    <w:rsid w:val="596E2614"/>
    <w:rsid w:val="59847F15"/>
    <w:rsid w:val="59B30F36"/>
    <w:rsid w:val="59E35308"/>
    <w:rsid w:val="5A151319"/>
    <w:rsid w:val="5A5F0850"/>
    <w:rsid w:val="5A641970"/>
    <w:rsid w:val="5A7E4921"/>
    <w:rsid w:val="5A8A3DB1"/>
    <w:rsid w:val="5A972372"/>
    <w:rsid w:val="5AA449B7"/>
    <w:rsid w:val="5AA9184E"/>
    <w:rsid w:val="5AD433FA"/>
    <w:rsid w:val="5ADC5520"/>
    <w:rsid w:val="5AE31628"/>
    <w:rsid w:val="5B1B7F7F"/>
    <w:rsid w:val="5B567818"/>
    <w:rsid w:val="5B747B40"/>
    <w:rsid w:val="5BA3302A"/>
    <w:rsid w:val="5BC85BF2"/>
    <w:rsid w:val="5BD15CD7"/>
    <w:rsid w:val="5BD62506"/>
    <w:rsid w:val="5BEC7E8A"/>
    <w:rsid w:val="5BF6048D"/>
    <w:rsid w:val="5C177FAF"/>
    <w:rsid w:val="5C251F92"/>
    <w:rsid w:val="5C281CBF"/>
    <w:rsid w:val="5C375F97"/>
    <w:rsid w:val="5C3F2313"/>
    <w:rsid w:val="5C7F704A"/>
    <w:rsid w:val="5CCE08FE"/>
    <w:rsid w:val="5CD003EE"/>
    <w:rsid w:val="5CDB0255"/>
    <w:rsid w:val="5CED0783"/>
    <w:rsid w:val="5D0040C4"/>
    <w:rsid w:val="5D0B433F"/>
    <w:rsid w:val="5D1B5705"/>
    <w:rsid w:val="5D3868D0"/>
    <w:rsid w:val="5D3D5F84"/>
    <w:rsid w:val="5D464C29"/>
    <w:rsid w:val="5D72396D"/>
    <w:rsid w:val="5D771884"/>
    <w:rsid w:val="5D96394F"/>
    <w:rsid w:val="5DB152AB"/>
    <w:rsid w:val="5DCC1CA1"/>
    <w:rsid w:val="5DE673E1"/>
    <w:rsid w:val="5DF57B23"/>
    <w:rsid w:val="5DF6043F"/>
    <w:rsid w:val="5DFE13F7"/>
    <w:rsid w:val="5E0A56D8"/>
    <w:rsid w:val="5E1E33A9"/>
    <w:rsid w:val="5E230800"/>
    <w:rsid w:val="5E271CE1"/>
    <w:rsid w:val="5E3B3CA9"/>
    <w:rsid w:val="5E53162C"/>
    <w:rsid w:val="5E826883"/>
    <w:rsid w:val="5F096FA4"/>
    <w:rsid w:val="5F103D27"/>
    <w:rsid w:val="5F2C537D"/>
    <w:rsid w:val="5F3D626F"/>
    <w:rsid w:val="5F88394B"/>
    <w:rsid w:val="5F8A6E4E"/>
    <w:rsid w:val="5F8F7F42"/>
    <w:rsid w:val="5F924DC1"/>
    <w:rsid w:val="5FB95257"/>
    <w:rsid w:val="5FD93159"/>
    <w:rsid w:val="5FE837F5"/>
    <w:rsid w:val="5FF6617D"/>
    <w:rsid w:val="5FFE2592"/>
    <w:rsid w:val="600B28A8"/>
    <w:rsid w:val="604134CD"/>
    <w:rsid w:val="60BC2341"/>
    <w:rsid w:val="60DB75D3"/>
    <w:rsid w:val="610C6769"/>
    <w:rsid w:val="61642270"/>
    <w:rsid w:val="61720555"/>
    <w:rsid w:val="618668C8"/>
    <w:rsid w:val="6191726A"/>
    <w:rsid w:val="61AC5125"/>
    <w:rsid w:val="61B13F9A"/>
    <w:rsid w:val="61BC05B0"/>
    <w:rsid w:val="61C444E4"/>
    <w:rsid w:val="62007B87"/>
    <w:rsid w:val="626B4E79"/>
    <w:rsid w:val="627D15E7"/>
    <w:rsid w:val="62832BCA"/>
    <w:rsid w:val="62851CDD"/>
    <w:rsid w:val="62A71108"/>
    <w:rsid w:val="62B12EE3"/>
    <w:rsid w:val="62C872A0"/>
    <w:rsid w:val="62D554A3"/>
    <w:rsid w:val="632623AE"/>
    <w:rsid w:val="6334467B"/>
    <w:rsid w:val="634467FD"/>
    <w:rsid w:val="63464323"/>
    <w:rsid w:val="634B6A33"/>
    <w:rsid w:val="63537050"/>
    <w:rsid w:val="6366073D"/>
    <w:rsid w:val="637451BA"/>
    <w:rsid w:val="63856835"/>
    <w:rsid w:val="638C7095"/>
    <w:rsid w:val="6390559E"/>
    <w:rsid w:val="639C03E7"/>
    <w:rsid w:val="63DD630A"/>
    <w:rsid w:val="640815D9"/>
    <w:rsid w:val="64412796"/>
    <w:rsid w:val="64481CC9"/>
    <w:rsid w:val="648264B3"/>
    <w:rsid w:val="64872E45"/>
    <w:rsid w:val="64992B79"/>
    <w:rsid w:val="64A83485"/>
    <w:rsid w:val="64B74F47"/>
    <w:rsid w:val="64B865EA"/>
    <w:rsid w:val="64CD45D0"/>
    <w:rsid w:val="64EB5CA0"/>
    <w:rsid w:val="64F91C54"/>
    <w:rsid w:val="65031CD1"/>
    <w:rsid w:val="650352E9"/>
    <w:rsid w:val="65053E1E"/>
    <w:rsid w:val="65054FBD"/>
    <w:rsid w:val="650B73ED"/>
    <w:rsid w:val="65367D38"/>
    <w:rsid w:val="65420171"/>
    <w:rsid w:val="654B6C2E"/>
    <w:rsid w:val="65526949"/>
    <w:rsid w:val="656F052A"/>
    <w:rsid w:val="65D5075D"/>
    <w:rsid w:val="65FC49E9"/>
    <w:rsid w:val="662A0A38"/>
    <w:rsid w:val="66486107"/>
    <w:rsid w:val="66494234"/>
    <w:rsid w:val="665011DF"/>
    <w:rsid w:val="665E1984"/>
    <w:rsid w:val="6684029B"/>
    <w:rsid w:val="669A7F65"/>
    <w:rsid w:val="66B35A7A"/>
    <w:rsid w:val="66D76328"/>
    <w:rsid w:val="66E50D0E"/>
    <w:rsid w:val="66EC2A81"/>
    <w:rsid w:val="66EF407B"/>
    <w:rsid w:val="67014F07"/>
    <w:rsid w:val="67247A5C"/>
    <w:rsid w:val="672B1A53"/>
    <w:rsid w:val="674E32CC"/>
    <w:rsid w:val="67C30AB2"/>
    <w:rsid w:val="680C0D40"/>
    <w:rsid w:val="682F10B1"/>
    <w:rsid w:val="68390BAB"/>
    <w:rsid w:val="68656C69"/>
    <w:rsid w:val="68946DA9"/>
    <w:rsid w:val="68E77426"/>
    <w:rsid w:val="691C697F"/>
    <w:rsid w:val="693A0334"/>
    <w:rsid w:val="69836008"/>
    <w:rsid w:val="69841C93"/>
    <w:rsid w:val="69892653"/>
    <w:rsid w:val="69CC7479"/>
    <w:rsid w:val="69D14BAF"/>
    <w:rsid w:val="69E43C45"/>
    <w:rsid w:val="69F5715D"/>
    <w:rsid w:val="6A102F95"/>
    <w:rsid w:val="6A245CA2"/>
    <w:rsid w:val="6A270136"/>
    <w:rsid w:val="6A5128E7"/>
    <w:rsid w:val="6A555782"/>
    <w:rsid w:val="6A617017"/>
    <w:rsid w:val="6A62085F"/>
    <w:rsid w:val="6A7E470B"/>
    <w:rsid w:val="6A884EEC"/>
    <w:rsid w:val="6A897109"/>
    <w:rsid w:val="6A9F20FF"/>
    <w:rsid w:val="6AC04C83"/>
    <w:rsid w:val="6AEF0C5E"/>
    <w:rsid w:val="6AF428B7"/>
    <w:rsid w:val="6B1A1EAA"/>
    <w:rsid w:val="6B31046B"/>
    <w:rsid w:val="6B400911"/>
    <w:rsid w:val="6B41632D"/>
    <w:rsid w:val="6B6F2CF5"/>
    <w:rsid w:val="6BA0669E"/>
    <w:rsid w:val="6BCB6198"/>
    <w:rsid w:val="6BD95429"/>
    <w:rsid w:val="6BDB0CD4"/>
    <w:rsid w:val="6C040682"/>
    <w:rsid w:val="6C07483E"/>
    <w:rsid w:val="6C1908AC"/>
    <w:rsid w:val="6C2D5854"/>
    <w:rsid w:val="6C31709F"/>
    <w:rsid w:val="6C6D2D0D"/>
    <w:rsid w:val="6C7453DE"/>
    <w:rsid w:val="6C7A7B55"/>
    <w:rsid w:val="6C855301"/>
    <w:rsid w:val="6CA43E69"/>
    <w:rsid w:val="6CBC13F4"/>
    <w:rsid w:val="6CD25BDE"/>
    <w:rsid w:val="6CD5135C"/>
    <w:rsid w:val="6D016666"/>
    <w:rsid w:val="6D1F041D"/>
    <w:rsid w:val="6D2D5551"/>
    <w:rsid w:val="6D416FE9"/>
    <w:rsid w:val="6D497562"/>
    <w:rsid w:val="6D4C79DE"/>
    <w:rsid w:val="6D6B4986"/>
    <w:rsid w:val="6D741A8D"/>
    <w:rsid w:val="6D8650A8"/>
    <w:rsid w:val="6DA71CBC"/>
    <w:rsid w:val="6DA97C2D"/>
    <w:rsid w:val="6DF767A3"/>
    <w:rsid w:val="6E000787"/>
    <w:rsid w:val="6E091096"/>
    <w:rsid w:val="6E0F4367"/>
    <w:rsid w:val="6E1B05F6"/>
    <w:rsid w:val="6E4352D1"/>
    <w:rsid w:val="6E737441"/>
    <w:rsid w:val="6E901187"/>
    <w:rsid w:val="6EBC030F"/>
    <w:rsid w:val="6EBC4898"/>
    <w:rsid w:val="6ECD2496"/>
    <w:rsid w:val="6EE7690C"/>
    <w:rsid w:val="6EF46750"/>
    <w:rsid w:val="6F2F55F5"/>
    <w:rsid w:val="6F4A2EBA"/>
    <w:rsid w:val="6F64004E"/>
    <w:rsid w:val="6F833ED3"/>
    <w:rsid w:val="6F9064F8"/>
    <w:rsid w:val="6FCB1590"/>
    <w:rsid w:val="6FDE6C20"/>
    <w:rsid w:val="6FE31E38"/>
    <w:rsid w:val="70031017"/>
    <w:rsid w:val="700B69B6"/>
    <w:rsid w:val="7016717C"/>
    <w:rsid w:val="701F46BD"/>
    <w:rsid w:val="704F6C8A"/>
    <w:rsid w:val="70512CBB"/>
    <w:rsid w:val="70747B99"/>
    <w:rsid w:val="70885675"/>
    <w:rsid w:val="70B7737C"/>
    <w:rsid w:val="70B85B96"/>
    <w:rsid w:val="70D06298"/>
    <w:rsid w:val="70D37054"/>
    <w:rsid w:val="71263532"/>
    <w:rsid w:val="7152350D"/>
    <w:rsid w:val="71BA0978"/>
    <w:rsid w:val="71DC074F"/>
    <w:rsid w:val="72085F0E"/>
    <w:rsid w:val="723F7594"/>
    <w:rsid w:val="7248108B"/>
    <w:rsid w:val="724A05E8"/>
    <w:rsid w:val="724D54DA"/>
    <w:rsid w:val="72811853"/>
    <w:rsid w:val="72BA43E6"/>
    <w:rsid w:val="72BC0523"/>
    <w:rsid w:val="72D37019"/>
    <w:rsid w:val="7306762B"/>
    <w:rsid w:val="73154EE8"/>
    <w:rsid w:val="73784233"/>
    <w:rsid w:val="738C1DEC"/>
    <w:rsid w:val="73CD5085"/>
    <w:rsid w:val="73FD0B65"/>
    <w:rsid w:val="741065A6"/>
    <w:rsid w:val="74177D49"/>
    <w:rsid w:val="74261C2A"/>
    <w:rsid w:val="743D707D"/>
    <w:rsid w:val="743E4FDA"/>
    <w:rsid w:val="74454306"/>
    <w:rsid w:val="745D14B7"/>
    <w:rsid w:val="746C7516"/>
    <w:rsid w:val="74824798"/>
    <w:rsid w:val="749E4EA7"/>
    <w:rsid w:val="74A964C0"/>
    <w:rsid w:val="74BE1A94"/>
    <w:rsid w:val="74F636CF"/>
    <w:rsid w:val="7502185A"/>
    <w:rsid w:val="751F5A9C"/>
    <w:rsid w:val="75297681"/>
    <w:rsid w:val="7553092D"/>
    <w:rsid w:val="755B7EA8"/>
    <w:rsid w:val="75761255"/>
    <w:rsid w:val="7595642F"/>
    <w:rsid w:val="759A405B"/>
    <w:rsid w:val="76075D1D"/>
    <w:rsid w:val="763F7F9F"/>
    <w:rsid w:val="76495049"/>
    <w:rsid w:val="76880357"/>
    <w:rsid w:val="769F52A1"/>
    <w:rsid w:val="76EE55AC"/>
    <w:rsid w:val="76F220C7"/>
    <w:rsid w:val="76F32056"/>
    <w:rsid w:val="77163BB5"/>
    <w:rsid w:val="77183DD1"/>
    <w:rsid w:val="772671D2"/>
    <w:rsid w:val="772E0EFE"/>
    <w:rsid w:val="77405661"/>
    <w:rsid w:val="77440E21"/>
    <w:rsid w:val="779F79D2"/>
    <w:rsid w:val="77A24B7F"/>
    <w:rsid w:val="77AE4C12"/>
    <w:rsid w:val="78121F2E"/>
    <w:rsid w:val="78344EE6"/>
    <w:rsid w:val="783A61D4"/>
    <w:rsid w:val="7844255D"/>
    <w:rsid w:val="78444A87"/>
    <w:rsid w:val="784721A0"/>
    <w:rsid w:val="786A240A"/>
    <w:rsid w:val="7885742D"/>
    <w:rsid w:val="78972FCD"/>
    <w:rsid w:val="78B54A54"/>
    <w:rsid w:val="78D53684"/>
    <w:rsid w:val="78D90277"/>
    <w:rsid w:val="78F66B43"/>
    <w:rsid w:val="78FD7797"/>
    <w:rsid w:val="7907149F"/>
    <w:rsid w:val="79103FC2"/>
    <w:rsid w:val="792E5ADB"/>
    <w:rsid w:val="793A736F"/>
    <w:rsid w:val="795A6E1D"/>
    <w:rsid w:val="79630533"/>
    <w:rsid w:val="7972680A"/>
    <w:rsid w:val="79A05C05"/>
    <w:rsid w:val="79B35723"/>
    <w:rsid w:val="7A030083"/>
    <w:rsid w:val="7A30281E"/>
    <w:rsid w:val="7A435623"/>
    <w:rsid w:val="7A5A4664"/>
    <w:rsid w:val="7A990E28"/>
    <w:rsid w:val="7AE87ADB"/>
    <w:rsid w:val="7AE91EF7"/>
    <w:rsid w:val="7AF00FBF"/>
    <w:rsid w:val="7B0D6371"/>
    <w:rsid w:val="7B425546"/>
    <w:rsid w:val="7B5E2D46"/>
    <w:rsid w:val="7B62387C"/>
    <w:rsid w:val="7B631AB3"/>
    <w:rsid w:val="7B715A61"/>
    <w:rsid w:val="7B7C01F3"/>
    <w:rsid w:val="7B8E0777"/>
    <w:rsid w:val="7B9A1458"/>
    <w:rsid w:val="7BB0072A"/>
    <w:rsid w:val="7BB816DF"/>
    <w:rsid w:val="7BBE440E"/>
    <w:rsid w:val="7BC71E77"/>
    <w:rsid w:val="7BD04C7A"/>
    <w:rsid w:val="7BF662EE"/>
    <w:rsid w:val="7BF7021D"/>
    <w:rsid w:val="7C536936"/>
    <w:rsid w:val="7C585E3C"/>
    <w:rsid w:val="7C816FEB"/>
    <w:rsid w:val="7C9B7036"/>
    <w:rsid w:val="7CE945FD"/>
    <w:rsid w:val="7CE97C6E"/>
    <w:rsid w:val="7CF01E50"/>
    <w:rsid w:val="7D050953"/>
    <w:rsid w:val="7D142945"/>
    <w:rsid w:val="7D254BDC"/>
    <w:rsid w:val="7D2D083F"/>
    <w:rsid w:val="7D703797"/>
    <w:rsid w:val="7D783084"/>
    <w:rsid w:val="7D90280C"/>
    <w:rsid w:val="7DBF013E"/>
    <w:rsid w:val="7DD11077"/>
    <w:rsid w:val="7DD24F6D"/>
    <w:rsid w:val="7DF7205D"/>
    <w:rsid w:val="7E2F10EE"/>
    <w:rsid w:val="7E597CD7"/>
    <w:rsid w:val="7E5A355A"/>
    <w:rsid w:val="7E8D4709"/>
    <w:rsid w:val="7E920A8D"/>
    <w:rsid w:val="7EA41E7E"/>
    <w:rsid w:val="7EA64C16"/>
    <w:rsid w:val="7EB0558F"/>
    <w:rsid w:val="7EC363D0"/>
    <w:rsid w:val="7EEF7D5C"/>
    <w:rsid w:val="7EF62377"/>
    <w:rsid w:val="7EF96EB6"/>
    <w:rsid w:val="7EFF54A2"/>
    <w:rsid w:val="7F0A2079"/>
    <w:rsid w:val="7F1B49D7"/>
    <w:rsid w:val="7F3D15CE"/>
    <w:rsid w:val="7F4A43D7"/>
    <w:rsid w:val="7FA6487B"/>
    <w:rsid w:val="7FAC3308"/>
    <w:rsid w:val="7FB31839"/>
    <w:rsid w:val="7FBA00B3"/>
    <w:rsid w:val="7FD36AE7"/>
    <w:rsid w:val="7FDD30DF"/>
    <w:rsid w:val="7FF2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100"/>
      <w:jc w:val="center"/>
      <w:outlineLvl w:val="0"/>
    </w:pPr>
    <w:rPr>
      <w:b/>
      <w:bCs/>
      <w:kern w:val="44"/>
      <w:sz w:val="32"/>
      <w:szCs w:val="44"/>
    </w:rPr>
  </w:style>
  <w:style w:type="paragraph" w:styleId="4">
    <w:name w:val="heading 2"/>
    <w:basedOn w:val="1"/>
    <w:next w:val="5"/>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6">
    <w:name w:val="heading 3"/>
    <w:basedOn w:val="1"/>
    <w:next w:val="5"/>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正文 New"/>
    <w:basedOn w:val="1"/>
    <w:qFormat/>
    <w:uiPriority w:val="0"/>
    <w:pPr>
      <w:spacing w:before="100" w:beforeAutospacing="1" w:after="100" w:afterAutospacing="1" w:line="440" w:lineRule="exact"/>
      <w:ind w:left="357" w:hanging="357"/>
    </w:pPr>
    <w:rPr>
      <w:szCs w:val="21"/>
    </w:rPr>
  </w:style>
  <w:style w:type="paragraph" w:styleId="5">
    <w:name w:val="Normal Indent"/>
    <w:basedOn w:val="1"/>
    <w:link w:val="39"/>
    <w:qFormat/>
    <w:uiPriority w:val="0"/>
    <w:pPr>
      <w:autoSpaceDE w:val="0"/>
      <w:autoSpaceDN w:val="0"/>
      <w:adjustRightInd w:val="0"/>
      <w:ind w:firstLine="420"/>
      <w:jc w:val="left"/>
    </w:pPr>
    <w:rPr>
      <w:rFonts w:ascii="宋体"/>
      <w:kern w:val="0"/>
      <w:sz w:val="24"/>
      <w:szCs w:val="20"/>
    </w:rPr>
  </w:style>
  <w:style w:type="paragraph" w:styleId="7">
    <w:name w:val="Document Map"/>
    <w:basedOn w:val="1"/>
    <w:link w:val="31"/>
    <w:qFormat/>
    <w:uiPriority w:val="0"/>
    <w:rPr>
      <w:rFonts w:ascii="宋体"/>
      <w:sz w:val="18"/>
      <w:szCs w:val="18"/>
    </w:rPr>
  </w:style>
  <w:style w:type="paragraph" w:styleId="8">
    <w:name w:val="annotation text"/>
    <w:basedOn w:val="1"/>
    <w:link w:val="32"/>
    <w:qFormat/>
    <w:uiPriority w:val="99"/>
    <w:pPr>
      <w:jc w:val="left"/>
    </w:pPr>
    <w:rPr>
      <w:rFonts w:ascii="仿宋_GB2312" w:eastAsia="仿宋_GB2312"/>
      <w:sz w:val="32"/>
      <w:szCs w:val="32"/>
    </w:rPr>
  </w:style>
  <w:style w:type="paragraph" w:styleId="9">
    <w:name w:val="Body Text"/>
    <w:basedOn w:val="1"/>
    <w:qFormat/>
    <w:uiPriority w:val="0"/>
    <w:pPr>
      <w:tabs>
        <w:tab w:val="left" w:pos="567"/>
      </w:tabs>
      <w:spacing w:before="120" w:line="22" w:lineRule="atLeast"/>
    </w:pPr>
    <w:rPr>
      <w:rFonts w:ascii="宋体" w:hAnsi="宋体"/>
      <w:sz w:val="24"/>
    </w:rPr>
  </w:style>
  <w:style w:type="paragraph" w:styleId="10">
    <w:name w:val="Body Text Indent"/>
    <w:basedOn w:val="1"/>
    <w:link w:val="38"/>
    <w:qFormat/>
    <w:uiPriority w:val="0"/>
    <w:pPr>
      <w:spacing w:after="120"/>
      <w:ind w:left="420" w:leftChars="200"/>
    </w:pPr>
  </w:style>
  <w:style w:type="paragraph" w:styleId="11">
    <w:name w:val="toc 3"/>
    <w:basedOn w:val="1"/>
    <w:next w:val="1"/>
    <w:link w:val="35"/>
    <w:qFormat/>
    <w:uiPriority w:val="39"/>
    <w:pPr>
      <w:spacing w:line="500" w:lineRule="exact"/>
      <w:ind w:left="400" w:leftChars="400"/>
    </w:pPr>
    <w:rPr>
      <w:kern w:val="0"/>
      <w:sz w:val="24"/>
      <w:szCs w:val="20"/>
    </w:rPr>
  </w:style>
  <w:style w:type="paragraph" w:styleId="12">
    <w:name w:val="Plain Text"/>
    <w:basedOn w:val="1"/>
    <w:link w:val="36"/>
    <w:qFormat/>
    <w:uiPriority w:val="0"/>
    <w:rPr>
      <w:rFonts w:ascii="宋体" w:hAnsi="Courier New"/>
      <w:szCs w:val="20"/>
    </w:rPr>
  </w:style>
  <w:style w:type="paragraph" w:styleId="13">
    <w:name w:val="Date"/>
    <w:basedOn w:val="1"/>
    <w:next w:val="1"/>
    <w:link w:val="40"/>
    <w:qFormat/>
    <w:uiPriority w:val="0"/>
    <w:pPr>
      <w:ind w:left="100" w:leftChars="2500"/>
    </w:pPr>
  </w:style>
  <w:style w:type="paragraph" w:styleId="14">
    <w:name w:val="Body Text Indent 2"/>
    <w:basedOn w:val="1"/>
    <w:qFormat/>
    <w:uiPriority w:val="0"/>
    <w:pPr>
      <w:spacing w:after="120" w:line="480" w:lineRule="auto"/>
      <w:ind w:left="420" w:leftChars="200"/>
    </w:pPr>
  </w:style>
  <w:style w:type="paragraph" w:styleId="15">
    <w:name w:val="Balloon Text"/>
    <w:basedOn w:val="1"/>
    <w:semiHidden/>
    <w:qFormat/>
    <w:uiPriority w:val="0"/>
    <w:rPr>
      <w:sz w:val="18"/>
      <w:szCs w:val="18"/>
    </w:rPr>
  </w:style>
  <w:style w:type="paragraph" w:styleId="16">
    <w:name w:val="footer"/>
    <w:basedOn w:val="1"/>
    <w:link w:val="37"/>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left" w:pos="1260"/>
        <w:tab w:val="right" w:leader="dot" w:pos="9060"/>
      </w:tabs>
      <w:spacing w:line="500" w:lineRule="exact"/>
    </w:pPr>
    <w:rPr>
      <w:sz w:val="24"/>
    </w:rPr>
  </w:style>
  <w:style w:type="paragraph" w:styleId="19">
    <w:name w:val="toc 2"/>
    <w:basedOn w:val="1"/>
    <w:next w:val="1"/>
    <w:qFormat/>
    <w:uiPriority w:val="39"/>
    <w:pPr>
      <w:spacing w:line="500" w:lineRule="exact"/>
      <w:ind w:left="200" w:leftChars="200"/>
    </w:pPr>
    <w:rPr>
      <w:sz w:val="24"/>
    </w:rPr>
  </w:style>
  <w:style w:type="paragraph" w:styleId="20">
    <w:name w:val="Normal (Web)"/>
    <w:basedOn w:val="1"/>
    <w:qFormat/>
    <w:uiPriority w:val="0"/>
    <w:pPr>
      <w:widowControl/>
      <w:spacing w:before="100" w:beforeAutospacing="1" w:after="100" w:afterAutospacing="1"/>
      <w:jc w:val="left"/>
    </w:pPr>
    <w:rPr>
      <w:rFonts w:ascii="Arial" w:hAnsi="Arial" w:eastAsia="Arial Unicode MS" w:cs="Arial"/>
      <w:kern w:val="0"/>
      <w:sz w:val="24"/>
    </w:rPr>
  </w:style>
  <w:style w:type="paragraph" w:styleId="21">
    <w:name w:val="index 1"/>
    <w:basedOn w:val="1"/>
    <w:next w:val="1"/>
    <w:semiHidden/>
    <w:qFormat/>
    <w:uiPriority w:val="0"/>
    <w:rPr>
      <w:szCs w:val="20"/>
    </w:rPr>
  </w:style>
  <w:style w:type="paragraph" w:styleId="22">
    <w:name w:val="annotation subject"/>
    <w:basedOn w:val="8"/>
    <w:next w:val="8"/>
    <w:semiHidden/>
    <w:qFormat/>
    <w:uiPriority w:val="0"/>
    <w:rPr>
      <w:rFonts w:ascii="Times New Roman" w:eastAsia="宋体"/>
      <w:b/>
      <w:bCs/>
      <w:sz w:val="21"/>
      <w:szCs w:val="24"/>
    </w:r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page number"/>
    <w:basedOn w:val="25"/>
    <w:qFormat/>
    <w:uiPriority w:val="0"/>
  </w:style>
  <w:style w:type="character" w:styleId="28">
    <w:name w:val="FollowedHyperlink"/>
    <w:basedOn w:val="25"/>
    <w:qFormat/>
    <w:uiPriority w:val="0"/>
    <w:rPr>
      <w:color w:val="800080"/>
      <w:u w:val="single"/>
    </w:rPr>
  </w:style>
  <w:style w:type="character" w:styleId="29">
    <w:name w:val="Hyperlink"/>
    <w:basedOn w:val="25"/>
    <w:qFormat/>
    <w:uiPriority w:val="99"/>
    <w:rPr>
      <w:color w:val="0000FF"/>
      <w:u w:val="single"/>
    </w:rPr>
  </w:style>
  <w:style w:type="character" w:styleId="30">
    <w:name w:val="annotation reference"/>
    <w:semiHidden/>
    <w:qFormat/>
    <w:uiPriority w:val="99"/>
    <w:rPr>
      <w:sz w:val="21"/>
      <w:szCs w:val="21"/>
    </w:rPr>
  </w:style>
  <w:style w:type="character" w:customStyle="1" w:styleId="31">
    <w:name w:val="文档结构图 字符"/>
    <w:link w:val="7"/>
    <w:qFormat/>
    <w:uiPriority w:val="0"/>
    <w:rPr>
      <w:rFonts w:ascii="宋体" w:eastAsia="宋体"/>
      <w:kern w:val="2"/>
      <w:sz w:val="18"/>
      <w:szCs w:val="18"/>
      <w:lang w:val="en-US" w:eastAsia="zh-CN" w:bidi="ar-SA"/>
    </w:rPr>
  </w:style>
  <w:style w:type="character" w:customStyle="1" w:styleId="32">
    <w:name w:val="批注文字 字符"/>
    <w:link w:val="8"/>
    <w:qFormat/>
    <w:uiPriority w:val="99"/>
    <w:rPr>
      <w:rFonts w:ascii="仿宋_GB2312" w:eastAsia="仿宋_GB2312"/>
      <w:kern w:val="2"/>
      <w:sz w:val="32"/>
      <w:szCs w:val="32"/>
    </w:rPr>
  </w:style>
  <w:style w:type="character" w:customStyle="1" w:styleId="33">
    <w:name w:val="样式（正文） Char"/>
    <w:link w:val="34"/>
    <w:qFormat/>
    <w:locked/>
    <w:uiPriority w:val="0"/>
    <w:rPr>
      <w:rFonts w:ascii="宋体" w:hAnsi="宋体" w:eastAsia="宋体"/>
      <w:kern w:val="2"/>
      <w:sz w:val="24"/>
      <w:szCs w:val="22"/>
      <w:lang w:bidi="ar-SA"/>
    </w:rPr>
  </w:style>
  <w:style w:type="paragraph" w:customStyle="1" w:styleId="34">
    <w:name w:val="样式（正文）"/>
    <w:basedOn w:val="1"/>
    <w:link w:val="33"/>
    <w:qFormat/>
    <w:uiPriority w:val="0"/>
    <w:pPr>
      <w:spacing w:line="360" w:lineRule="auto"/>
      <w:ind w:firstLine="200" w:firstLineChars="200"/>
    </w:pPr>
    <w:rPr>
      <w:rFonts w:ascii="宋体" w:hAnsi="宋体"/>
      <w:sz w:val="24"/>
      <w:szCs w:val="22"/>
    </w:rPr>
  </w:style>
  <w:style w:type="character" w:customStyle="1" w:styleId="35">
    <w:name w:val="TOC 3 字符"/>
    <w:link w:val="11"/>
    <w:qFormat/>
    <w:uiPriority w:val="39"/>
    <w:rPr>
      <w:sz w:val="24"/>
    </w:rPr>
  </w:style>
  <w:style w:type="character" w:customStyle="1" w:styleId="36">
    <w:name w:val="纯文本 字符"/>
    <w:link w:val="12"/>
    <w:qFormat/>
    <w:uiPriority w:val="0"/>
    <w:rPr>
      <w:rFonts w:ascii="宋体" w:hAnsi="Courier New"/>
      <w:kern w:val="2"/>
      <w:sz w:val="21"/>
    </w:rPr>
  </w:style>
  <w:style w:type="character" w:customStyle="1" w:styleId="37">
    <w:name w:val="页脚 字符"/>
    <w:basedOn w:val="25"/>
    <w:link w:val="16"/>
    <w:qFormat/>
    <w:uiPriority w:val="99"/>
    <w:rPr>
      <w:kern w:val="2"/>
      <w:sz w:val="18"/>
      <w:szCs w:val="18"/>
    </w:rPr>
  </w:style>
  <w:style w:type="character" w:customStyle="1" w:styleId="38">
    <w:name w:val="正文文本缩进 字符"/>
    <w:link w:val="10"/>
    <w:qFormat/>
    <w:uiPriority w:val="0"/>
  </w:style>
  <w:style w:type="character" w:customStyle="1" w:styleId="39">
    <w:name w:val="正文缩进 字符"/>
    <w:link w:val="5"/>
    <w:qFormat/>
    <w:uiPriority w:val="0"/>
    <w:rPr>
      <w:rFonts w:ascii="宋体" w:eastAsia="宋体"/>
      <w:sz w:val="24"/>
      <w:lang w:val="en-US" w:eastAsia="zh-CN" w:bidi="ar-SA"/>
    </w:rPr>
  </w:style>
  <w:style w:type="character" w:customStyle="1" w:styleId="40">
    <w:name w:val="日期 字符"/>
    <w:basedOn w:val="25"/>
    <w:link w:val="13"/>
    <w:qFormat/>
    <w:uiPriority w:val="0"/>
    <w:rPr>
      <w:kern w:val="2"/>
      <w:sz w:val="21"/>
      <w:szCs w:val="24"/>
    </w:rPr>
  </w:style>
  <w:style w:type="paragraph" w:customStyle="1" w:styleId="41">
    <w:name w:val="Char Char1"/>
    <w:basedOn w:val="1"/>
    <w:qFormat/>
    <w:uiPriority w:val="0"/>
  </w:style>
  <w:style w:type="paragraph" w:customStyle="1" w:styleId="42">
    <w:name w:val="p0"/>
    <w:basedOn w:val="1"/>
    <w:qFormat/>
    <w:uiPriority w:val="0"/>
    <w:pPr>
      <w:widowControl/>
      <w:snapToGrid w:val="0"/>
      <w:spacing w:after="200"/>
      <w:jc w:val="left"/>
    </w:pPr>
    <w:rPr>
      <w:rFonts w:ascii="Tahoma" w:hAnsi="Tahoma" w:cs="Tahoma"/>
      <w:kern w:val="0"/>
      <w:sz w:val="22"/>
      <w:szCs w:val="22"/>
    </w:rPr>
  </w:style>
  <w:style w:type="paragraph" w:customStyle="1" w:styleId="4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4">
    <w:name w:val="Char1"/>
    <w:basedOn w:val="1"/>
    <w:qFormat/>
    <w:uiPriority w:val="0"/>
    <w:rPr>
      <w:rFonts w:ascii="Tahoma" w:hAnsi="Tahoma"/>
      <w:sz w:val="24"/>
      <w:szCs w:val="20"/>
    </w:rPr>
  </w:style>
  <w:style w:type="paragraph" w:customStyle="1" w:styleId="45">
    <w:name w:val="Char"/>
    <w:basedOn w:val="1"/>
    <w:qFormat/>
    <w:uiPriority w:val="0"/>
    <w:pPr>
      <w:tabs>
        <w:tab w:val="left" w:pos="432"/>
      </w:tabs>
      <w:spacing w:beforeLines="50" w:afterLines="50"/>
      <w:ind w:left="864" w:hanging="432"/>
    </w:pPr>
    <w:rPr>
      <w:sz w:val="24"/>
    </w:rPr>
  </w:style>
  <w:style w:type="paragraph" w:customStyle="1" w:styleId="46">
    <w:name w:val="样式 标题 2 + 段后: 156 磅"/>
    <w:basedOn w:val="4"/>
    <w:qFormat/>
    <w:uiPriority w:val="0"/>
    <w:pPr>
      <w:spacing w:before="100" w:after="100" w:line="240" w:lineRule="auto"/>
    </w:pPr>
    <w:rPr>
      <w:rFonts w:cs="宋体"/>
      <w:bCs/>
      <w:sz w:val="30"/>
    </w:rPr>
  </w:style>
  <w:style w:type="paragraph" w:customStyle="1" w:styleId="47">
    <w:name w:val="Char Char11"/>
    <w:basedOn w:val="1"/>
    <w:qFormat/>
    <w:uiPriority w:val="0"/>
    <w:rPr>
      <w:szCs w:val="20"/>
    </w:rPr>
  </w:style>
  <w:style w:type="paragraph" w:customStyle="1" w:styleId="48">
    <w:name w:val="样式1"/>
    <w:basedOn w:val="6"/>
    <w:qFormat/>
    <w:uiPriority w:val="0"/>
    <w:pPr>
      <w:jc w:val="center"/>
    </w:pPr>
  </w:style>
  <w:style w:type="paragraph" w:customStyle="1" w:styleId="49">
    <w:name w:val="列出段落1"/>
    <w:basedOn w:val="1"/>
    <w:qFormat/>
    <w:uiPriority w:val="34"/>
    <w:pPr>
      <w:ind w:firstLine="420" w:firstLineChars="200"/>
    </w:pPr>
    <w:rPr>
      <w:rFonts w:ascii="Calibri" w:hAnsi="Calibri"/>
      <w:szCs w:val="22"/>
    </w:rPr>
  </w:style>
  <w:style w:type="paragraph" w:customStyle="1" w:styleId="50">
    <w:name w:val="Char11"/>
    <w:basedOn w:val="1"/>
    <w:qFormat/>
    <w:uiPriority w:val="0"/>
    <w:rPr>
      <w:rFonts w:ascii="Tahoma" w:hAnsi="Tahoma"/>
      <w:sz w:val="24"/>
      <w:szCs w:val="20"/>
    </w:rPr>
  </w:style>
  <w:style w:type="paragraph" w:customStyle="1" w:styleId="51">
    <w:name w:val="Char2"/>
    <w:basedOn w:val="1"/>
    <w:next w:val="1"/>
    <w:qFormat/>
    <w:uiPriority w:val="0"/>
    <w:pPr>
      <w:widowControl/>
      <w:spacing w:line="360" w:lineRule="auto"/>
      <w:jc w:val="left"/>
    </w:pPr>
    <w:rPr>
      <w:kern w:val="0"/>
      <w:szCs w:val="20"/>
      <w:lang w:eastAsia="en-US"/>
    </w:rPr>
  </w:style>
  <w:style w:type="paragraph" w:customStyle="1" w:styleId="52">
    <w:name w:val="表文"/>
    <w:basedOn w:val="1"/>
    <w:qFormat/>
    <w:uiPriority w:val="0"/>
    <w:rPr>
      <w:rFonts w:ascii="宋体" w:hAnsi="宋体" w:cs="宋体"/>
      <w:color w:val="000000"/>
      <w:kern w:val="0"/>
      <w:szCs w:val="21"/>
    </w:rPr>
  </w:style>
  <w:style w:type="paragraph" w:customStyle="1" w:styleId="53">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54">
    <w:name w:val="List Paragraph"/>
    <w:basedOn w:val="1"/>
    <w:qFormat/>
    <w:uiPriority w:val="99"/>
    <w:pPr>
      <w:ind w:firstLine="420" w:firstLineChars="200"/>
    </w:pPr>
  </w:style>
  <w:style w:type="character" w:customStyle="1" w:styleId="55">
    <w:name w:val="批注文字 Char1"/>
    <w:basedOn w:val="25"/>
    <w:semiHidden/>
    <w:qFormat/>
    <w:uiPriority w:val="99"/>
    <w:rPr>
      <w:rFonts w:ascii="Times New Roman" w:hAnsi="Times New Roman" w:eastAsia="宋体" w:cs="Times New Roman"/>
      <w:szCs w:val="24"/>
    </w:rPr>
  </w:style>
  <w:style w:type="table" w:customStyle="1" w:styleId="56">
    <w:name w:val="TableGrid"/>
    <w:qFormat/>
    <w:uiPriority w:val="0"/>
    <w:rPr>
      <w:kern w:val="2"/>
      <w:sz w:val="21"/>
      <w:szCs w:val="22"/>
    </w:rPr>
    <w:tblPr>
      <w:tblCellMar>
        <w:top w:w="0" w:type="dxa"/>
        <w:left w:w="0" w:type="dxa"/>
        <w:bottom w:w="0" w:type="dxa"/>
        <w:right w:w="0" w:type="dxa"/>
      </w:tblCellMar>
    </w:tblPr>
  </w:style>
  <w:style w:type="paragraph" w:customStyle="1" w:styleId="57">
    <w:name w:val="xl31"/>
    <w:basedOn w:val="1"/>
    <w:qFormat/>
    <w:uiPriority w:val="0"/>
    <w:pPr>
      <w:widowControl/>
      <w:spacing w:before="100" w:beforeAutospacing="1" w:after="100" w:afterAutospacing="1"/>
      <w:jc w:val="center"/>
    </w:pPr>
    <w:rPr>
      <w:b/>
      <w:bCs/>
      <w:kern w:val="0"/>
      <w:sz w:val="28"/>
      <w:szCs w:val="28"/>
    </w:rPr>
  </w:style>
  <w:style w:type="character" w:customStyle="1" w:styleId="58">
    <w:name w:val="font21"/>
    <w:basedOn w:val="25"/>
    <w:qFormat/>
    <w:uiPriority w:val="0"/>
    <w:rPr>
      <w:rFonts w:hint="eastAsia" w:ascii="华文仿宋" w:hAnsi="华文仿宋" w:eastAsia="华文仿宋" w:cs="华文仿宋"/>
      <w:color w:val="000000"/>
      <w:sz w:val="20"/>
      <w:szCs w:val="20"/>
      <w:u w:val="none"/>
    </w:rPr>
  </w:style>
  <w:style w:type="character" w:customStyle="1" w:styleId="59">
    <w:name w:val="font41"/>
    <w:basedOn w:val="25"/>
    <w:qFormat/>
    <w:uiPriority w:val="0"/>
    <w:rPr>
      <w:rFonts w:hint="eastAsia" w:ascii="华文仿宋" w:hAnsi="华文仿宋" w:eastAsia="华文仿宋" w:cs="华文仿宋"/>
      <w:b/>
      <w:bCs/>
      <w:color w:val="000000"/>
      <w:sz w:val="20"/>
      <w:szCs w:val="20"/>
      <w:u w:val="none"/>
    </w:rPr>
  </w:style>
  <w:style w:type="character" w:customStyle="1" w:styleId="60">
    <w:name w:val="font51"/>
    <w:basedOn w:val="25"/>
    <w:qFormat/>
    <w:uiPriority w:val="0"/>
    <w:rPr>
      <w:rFonts w:hint="eastAsia" w:ascii="华文仿宋" w:hAnsi="华文仿宋" w:eastAsia="华文仿宋" w:cs="华文仿宋"/>
      <w:b/>
      <w:bCs/>
      <w:color w:val="000000"/>
      <w:sz w:val="20"/>
      <w:szCs w:val="20"/>
      <w:u w:val="none"/>
    </w:rPr>
  </w:style>
  <w:style w:type="character" w:customStyle="1" w:styleId="61">
    <w:name w:val="font61"/>
    <w:basedOn w:val="25"/>
    <w:qFormat/>
    <w:uiPriority w:val="0"/>
    <w:rPr>
      <w:rFonts w:hint="eastAsia" w:ascii="华文仿宋" w:hAnsi="华文仿宋" w:eastAsia="华文仿宋" w:cs="华文仿宋"/>
      <w:color w:val="FF26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51F10C-400E-49E4-AE15-68F05064A5B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42</Pages>
  <Words>19370</Words>
  <Characters>20643</Characters>
  <Lines>235</Lines>
  <Paragraphs>66</Paragraphs>
  <TotalTime>61</TotalTime>
  <ScaleCrop>false</ScaleCrop>
  <LinksUpToDate>false</LinksUpToDate>
  <CharactersWithSpaces>24068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2022-06-18T04:55:00Z</dcterms:created>
  <dc:creator>LF</dc:creator>
  <cp:lastModifiedBy>随便</cp:lastModifiedBy>
  <cp:lastPrinted>2021-11-02T07:07:00Z</cp:lastPrinted>
  <dcterms:modified xsi:type="dcterms:W3CDTF">2023-03-02T03:41:05Z</dcterms:modified>
  <dc:title>招标文件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3269E80F43BE47298C1C8D70CADC40A0</vt:lpwstr>
  </property>
</Properties>
</file>